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636132A2" w14:textId="77777777" w:rsidR="00984C03" w:rsidRPr="005B1BEE" w:rsidRDefault="00984C03" w:rsidP="005B1BEE">
      <w:pPr>
        <w:spacing w:after="120" w:line="240" w:lineRule="auto"/>
        <w:jc w:val="both"/>
        <w:rPr>
          <w:rFonts w:cstheme="minorHAnsi"/>
          <w:b/>
        </w:rPr>
      </w:pPr>
    </w:p>
    <w:p w14:paraId="544AC332" w14:textId="29A1202A" w:rsidR="000E4669" w:rsidRPr="00FE3791" w:rsidRDefault="00E81020" w:rsidP="00FE3791">
      <w:pPr>
        <w:spacing w:after="120" w:line="240" w:lineRule="auto"/>
        <w:jc w:val="both"/>
        <w:rPr>
          <w:rFonts w:cstheme="minorHAnsi"/>
          <w:b/>
          <w:color w:val="339933"/>
        </w:rPr>
      </w:pPr>
      <w:r w:rsidRPr="00FE3791">
        <w:rPr>
          <w:rFonts w:cstheme="minorHAnsi"/>
          <w:b/>
        </w:rPr>
        <w:t>SALA DE ESTUDIOS.</w:t>
      </w:r>
      <w:r w:rsidR="00BD2BA0" w:rsidRPr="00FE3791">
        <w:rPr>
          <w:rFonts w:cstheme="minorHAnsi"/>
          <w:b/>
        </w:rPr>
        <w:t xml:space="preserve"> 1</w:t>
      </w:r>
      <w:r w:rsidRPr="00FE3791">
        <w:rPr>
          <w:rFonts w:cstheme="minorHAnsi"/>
          <w:b/>
        </w:rPr>
        <w:t>8</w:t>
      </w:r>
      <w:r w:rsidR="00BD2BA0" w:rsidRPr="00FE3791">
        <w:rPr>
          <w:rFonts w:cstheme="minorHAnsi"/>
          <w:b/>
        </w:rPr>
        <w:t xml:space="preserve"> de abril (de </w:t>
      </w:r>
      <w:r w:rsidR="008115E9" w:rsidRPr="00FE3791">
        <w:rPr>
          <w:rFonts w:cstheme="minorHAnsi"/>
          <w:b/>
        </w:rPr>
        <w:t xml:space="preserve">9.00 a </w:t>
      </w:r>
      <w:r w:rsidRPr="00FE3791">
        <w:rPr>
          <w:rFonts w:cstheme="minorHAnsi"/>
          <w:b/>
        </w:rPr>
        <w:t>12.00</w:t>
      </w:r>
      <w:r w:rsidR="00BD2BA0" w:rsidRPr="00FE3791">
        <w:rPr>
          <w:rFonts w:cstheme="minorHAnsi"/>
          <w:b/>
        </w:rPr>
        <w:t>)</w:t>
      </w:r>
    </w:p>
    <w:p w14:paraId="2BCA2FA2" w14:textId="1A565D41" w:rsidR="00E81020" w:rsidRPr="00FE3791" w:rsidRDefault="00520C48" w:rsidP="00FE3791">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FE3791">
        <w:rPr>
          <w:rFonts w:cstheme="minorHAnsi"/>
          <w:b/>
        </w:rPr>
        <w:t xml:space="preserve">EJE </w:t>
      </w:r>
      <w:r w:rsidR="00E81020" w:rsidRPr="00FE3791">
        <w:rPr>
          <w:rFonts w:cstheme="minorHAnsi"/>
          <w:b/>
        </w:rPr>
        <w:t>5. ALUMNAS Y ALUMNOS EN TRABAJO SOCIAL.</w:t>
      </w:r>
    </w:p>
    <w:p w14:paraId="7E443D4F" w14:textId="097DD20C" w:rsidR="00E81020" w:rsidRPr="00FE3791" w:rsidRDefault="00E81020" w:rsidP="00FE3791">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FE3791">
        <w:rPr>
          <w:rFonts w:cstheme="minorHAnsi"/>
          <w:b/>
        </w:rPr>
        <w:t>Aportaciones del alumnado a la investigación y acción en Trabajo Social</w:t>
      </w:r>
    </w:p>
    <w:p w14:paraId="581E30D2" w14:textId="6FD9C244" w:rsidR="00C04F4E" w:rsidRPr="00FE3791" w:rsidRDefault="00CA5D85" w:rsidP="00FE3791">
      <w:pPr>
        <w:spacing w:after="120" w:line="240" w:lineRule="auto"/>
        <w:jc w:val="both"/>
        <w:rPr>
          <w:rFonts w:cstheme="minorHAnsi"/>
          <w:b/>
          <w:color w:val="FF0000"/>
        </w:rPr>
      </w:pPr>
      <w:sdt>
        <w:sdtPr>
          <w:rPr>
            <w:rFonts w:cstheme="minorHAnsi"/>
          </w:rPr>
          <w:tag w:val="goog_rdk_0"/>
          <w:id w:val="-1036647582"/>
          <w:showingPlcHdr/>
        </w:sdtPr>
        <w:sdtEndPr/>
        <w:sdtContent>
          <w:r w:rsidR="00FE3791" w:rsidRPr="00FE3791">
            <w:rPr>
              <w:rFonts w:cstheme="minorHAnsi"/>
            </w:rPr>
            <w:t xml:space="preserve">     </w:t>
          </w:r>
        </w:sdtContent>
      </w:sdt>
    </w:p>
    <w:p w14:paraId="772AE555" w14:textId="77777777" w:rsidR="00FE3791" w:rsidRPr="00FE3791" w:rsidRDefault="00FE3791" w:rsidP="00FE3791">
      <w:pPr>
        <w:pStyle w:val="v1elementtoproof"/>
        <w:shd w:val="clear" w:color="auto" w:fill="DEEAF6" w:themeFill="accent5" w:themeFillTint="33"/>
        <w:spacing w:before="0" w:beforeAutospacing="0" w:after="120" w:afterAutospacing="0"/>
        <w:jc w:val="both"/>
        <w:rPr>
          <w:rFonts w:asciiTheme="minorHAnsi" w:hAnsiTheme="minorHAnsi" w:cstheme="minorHAnsi"/>
          <w:b/>
          <w:sz w:val="22"/>
          <w:szCs w:val="22"/>
        </w:rPr>
      </w:pPr>
      <w:r w:rsidRPr="00FE3791">
        <w:rPr>
          <w:rFonts w:asciiTheme="minorHAnsi" w:hAnsiTheme="minorHAnsi" w:cstheme="minorHAnsi"/>
          <w:b/>
          <w:bCs/>
          <w:sz w:val="22"/>
          <w:szCs w:val="22"/>
        </w:rPr>
        <w:t xml:space="preserve">Título: </w:t>
      </w:r>
      <w:r w:rsidRPr="00FE3791">
        <w:rPr>
          <w:rFonts w:asciiTheme="minorHAnsi" w:hAnsiTheme="minorHAnsi" w:cstheme="minorHAnsi"/>
          <w:b/>
          <w:sz w:val="22"/>
          <w:szCs w:val="22"/>
        </w:rPr>
        <w:t>Ocupando espacios: Consideraciones sobre los Planes de Igualdad de las Universidades Andaluzas y el estudiantado universitario con relación a la diversidad corporal gorda.</w:t>
      </w:r>
    </w:p>
    <w:p w14:paraId="54E560F1" w14:textId="182C7220"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62BB4FA6" w14:textId="4381A618" w:rsidR="00FE3791" w:rsidRPr="00FE3791" w:rsidRDefault="00FE3791" w:rsidP="00FE3791">
      <w:pPr>
        <w:pStyle w:val="v1elementtoproof"/>
        <w:numPr>
          <w:ilvl w:val="0"/>
          <w:numId w:val="13"/>
        </w:numPr>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Desirée Farfán González, Universidad de Cádiz. </w:t>
      </w:r>
    </w:p>
    <w:p w14:paraId="46EB911C" w14:textId="7C2305F2" w:rsidR="00FE3791" w:rsidRPr="00FE3791" w:rsidRDefault="00FE3791" w:rsidP="00FE3791">
      <w:pPr>
        <w:shd w:val="clear" w:color="auto" w:fill="FFFFFF"/>
        <w:spacing w:after="120" w:line="240" w:lineRule="auto"/>
        <w:rPr>
          <w:rFonts w:eastAsia="Times New Roman" w:cstheme="minorHAnsi"/>
          <w:b/>
          <w:color w:val="000000"/>
          <w:lang w:eastAsia="es-ES"/>
        </w:rPr>
      </w:pPr>
      <w:r w:rsidRPr="00FE3791">
        <w:rPr>
          <w:rFonts w:eastAsia="Times New Roman" w:cstheme="minorHAnsi"/>
          <w:b/>
          <w:color w:val="000000"/>
          <w:lang w:eastAsia="es-ES"/>
        </w:rPr>
        <w:t>Resumen</w:t>
      </w:r>
    </w:p>
    <w:p w14:paraId="562AB809"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FE3791">
        <w:rPr>
          <w:rFonts w:asciiTheme="minorHAnsi" w:hAnsiTheme="minorHAnsi" w:cstheme="minorHAnsi"/>
          <w:sz w:val="22"/>
          <w:szCs w:val="22"/>
        </w:rPr>
        <w:t xml:space="preserve">Desde nuestra infancia, estamos expuestas a imágenes y mensajes que reafirman la idea de que solo los cuerpos delgados son considerados atractivos y saludables. Al mismo tiempo, se perpetúa el estereotipo de que solo los cuerpos delgados y blancos serán considerados socialmente aceptables y se les permitirán el éxito y la aceptación por parte de las demás personas. Sin embargo, habitamos un mundo diverso, donde todas las personas somos diferentes en cuanto a tamaño, color de piel, raza, identidad de género u orientación sexual, es decir, somos una sociedad diversa en cuanto a corporalidades, de tal forma que no puede ser reducida a un único modelo de cuerpo. El estigma y la discriminación hacia las corporalidades gordas afecta a la calidad de vida, tanto en el ámbito personal como social y académico de las personas que las encarnan. A lo largo de esta investigación se explorará la forma en la que se aborda la cuestión de las corporalidades gordas en el ámbito universitario. Es importante destacar que la falta de representatividad de la diversidad corporal gorda en la universidad no solo afecta a las personas gordas, sino que también perjudica al concepto de universidad como espacio diverso, crítico y a la vanguardia del conocimiento. Esta investigación se compone de dos partes, la primera de ella consiste en la revisión y análisis de los Planes de Igualdad de las once Universidades que conforman el Sistema Universitario Andaluz. La segunda parte de este estudio exploratorio ha consistido en la realización de seis grupos triangulares procedentes de diferentes grados de la Universidad de Málaga. Los datos obtenidos muestran que solo una de las once universidades analizadas, la Universidad de Jaén, incorpora el término diversidad corporal en su plan de igualdad. Aunque este es utilizado en relación con las identidades trans. Con respecto a nuestro objeto de estudio, la diversidad corporal gorda, los datos son bastantes claros y concluyentes: no se ha producido la incorporación de esta diversidad en ningún plan de igualdad de las universidades analizadas. Por su parte, el alumnado no sabe cómo nombrar el fenómeno, donde el lenguaje políticamente correcto tiene un papel fundamental y en consecuencia ocurre el segundo de los hallazgos: el estudiantado no sabe cómo relacionarse con el fenómeno, de manera que éste acaba siendo patologizado, feminizado y utilizado como motivo de burla y desprestigio. Por lo tanto, si bien es cierto que existe una intención política hacia la consideración de las diversidades en los planes de igualdad, como demuestra la inclusión de algunas de estas diversidades o el establecimiento de un órgano encargado de la diversidad en la estructura de gobierno de muchas universidades, aún queda mucho por hacer en cuanto al estudio de las políticas públicas de igualdad en relación con la diversidad corporal. Este estudio permite observar </w:t>
      </w:r>
      <w:proofErr w:type="spellStart"/>
      <w:r w:rsidRPr="00FE3791">
        <w:rPr>
          <w:rFonts w:asciiTheme="minorHAnsi" w:hAnsiTheme="minorHAnsi" w:cstheme="minorHAnsi"/>
          <w:sz w:val="22"/>
          <w:szCs w:val="22"/>
        </w:rPr>
        <w:t>como</w:t>
      </w:r>
      <w:proofErr w:type="spellEnd"/>
      <w:r w:rsidRPr="00FE3791">
        <w:rPr>
          <w:rFonts w:asciiTheme="minorHAnsi" w:hAnsiTheme="minorHAnsi" w:cstheme="minorHAnsi"/>
          <w:sz w:val="22"/>
          <w:szCs w:val="22"/>
        </w:rPr>
        <w:t xml:space="preserve">, en palabras de </w:t>
      </w:r>
      <w:proofErr w:type="spellStart"/>
      <w:r w:rsidRPr="00FE3791">
        <w:rPr>
          <w:rFonts w:asciiTheme="minorHAnsi" w:hAnsiTheme="minorHAnsi" w:cstheme="minorHAnsi"/>
          <w:sz w:val="22"/>
          <w:szCs w:val="22"/>
        </w:rPr>
        <w:t>Corrigan</w:t>
      </w:r>
      <w:proofErr w:type="spellEnd"/>
      <w:r w:rsidRPr="00FE3791">
        <w:rPr>
          <w:rFonts w:asciiTheme="minorHAnsi" w:hAnsiTheme="minorHAnsi" w:cstheme="minorHAnsi"/>
          <w:sz w:val="22"/>
          <w:szCs w:val="22"/>
        </w:rPr>
        <w:t xml:space="preserve"> y Sayer, el “estado, realmente, nunca para de hablar” define, representa y proyecta actuaciones e identidades entre el “aliento” de unas y el “socavamiento” de otras. En conclusión, estos resultados tienen importantes implicaciones en la manera en que las personas perciben y legislan sobre la diversidad corporal gorda y sugiere la necesidad de desarrollar estrategias efectivas para reducir los riesgos </w:t>
      </w:r>
      <w:r w:rsidRPr="00FE3791">
        <w:rPr>
          <w:rFonts w:asciiTheme="minorHAnsi" w:hAnsiTheme="minorHAnsi" w:cstheme="minorHAnsi"/>
          <w:sz w:val="22"/>
          <w:szCs w:val="22"/>
        </w:rPr>
        <w:lastRenderedPageBreak/>
        <w:t xml:space="preserve">sociales asociados a la </w:t>
      </w:r>
      <w:proofErr w:type="spellStart"/>
      <w:r w:rsidRPr="00FE3791">
        <w:rPr>
          <w:rFonts w:asciiTheme="minorHAnsi" w:hAnsiTheme="minorHAnsi" w:cstheme="minorHAnsi"/>
          <w:sz w:val="22"/>
          <w:szCs w:val="22"/>
        </w:rPr>
        <w:t>gordofobia</w:t>
      </w:r>
      <w:proofErr w:type="spellEnd"/>
      <w:r w:rsidRPr="00FE3791">
        <w:rPr>
          <w:rFonts w:asciiTheme="minorHAnsi" w:hAnsiTheme="minorHAnsi" w:cstheme="minorHAnsi"/>
          <w:sz w:val="22"/>
          <w:szCs w:val="22"/>
        </w:rPr>
        <w:t>, tanto social como institucional, donde el Trabajo Social tiene un papel fundamental como profesión encargada de promover el cambio y desarrollo social, los derechos humanos, la responsabilidad colectiva, la justicia social y el respeto a la diversidad.</w:t>
      </w:r>
    </w:p>
    <w:p w14:paraId="06A0A6A8"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b/>
          <w:sz w:val="22"/>
          <w:szCs w:val="22"/>
        </w:rPr>
        <w:t>Palabras clave:</w:t>
      </w:r>
      <w:r w:rsidRPr="00FE3791">
        <w:rPr>
          <w:rFonts w:asciiTheme="minorHAnsi" w:hAnsiTheme="minorHAnsi" w:cstheme="minorHAnsi"/>
          <w:sz w:val="22"/>
          <w:szCs w:val="22"/>
        </w:rPr>
        <w:t xml:space="preserve"> Diversidad, Gordura, Grupos Triangulares, Planes de Igualdad, Universidades.</w:t>
      </w:r>
    </w:p>
    <w:p w14:paraId="2D0E89A6" w14:textId="77777777" w:rsidR="00FE3791" w:rsidRPr="00FE3791" w:rsidRDefault="00FE3791" w:rsidP="00FE3791">
      <w:pPr>
        <w:spacing w:after="120" w:line="240" w:lineRule="auto"/>
        <w:jc w:val="both"/>
        <w:rPr>
          <w:rFonts w:cstheme="minorHAnsi"/>
          <w:b/>
        </w:rPr>
      </w:pPr>
    </w:p>
    <w:p w14:paraId="1E516464" w14:textId="3BE721F5" w:rsidR="00FE3791" w:rsidRPr="00FE3791" w:rsidRDefault="00FE3791" w:rsidP="00671D91">
      <w:pPr>
        <w:shd w:val="clear" w:color="auto" w:fill="DEEAF6" w:themeFill="accent5" w:themeFillTint="33"/>
        <w:spacing w:after="120" w:line="240" w:lineRule="auto"/>
        <w:jc w:val="both"/>
        <w:rPr>
          <w:rFonts w:cstheme="minorHAnsi"/>
          <w:b/>
          <w:bCs/>
        </w:rPr>
      </w:pPr>
      <w:r w:rsidRPr="00FE3791">
        <w:rPr>
          <w:rFonts w:cstheme="minorHAnsi"/>
          <w:b/>
        </w:rPr>
        <w:t xml:space="preserve">Título: </w:t>
      </w:r>
      <w:r w:rsidRPr="00FE3791">
        <w:rPr>
          <w:rFonts w:cstheme="minorHAnsi"/>
          <w:b/>
          <w:bCs/>
        </w:rPr>
        <w:t xml:space="preserve">Evaluación de la calidad de los Centros de Protección de Menores. Una herramienta técnica para el Trabajo Social. </w:t>
      </w:r>
    </w:p>
    <w:p w14:paraId="655DA3A8" w14:textId="27EFD173"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545C5EA7" w14:textId="77777777" w:rsidR="00FE3791" w:rsidRPr="00671D91" w:rsidRDefault="00FE3791" w:rsidP="00671D91">
      <w:pPr>
        <w:pStyle w:val="Prrafodelista"/>
        <w:numPr>
          <w:ilvl w:val="0"/>
          <w:numId w:val="13"/>
        </w:numPr>
        <w:spacing w:after="120" w:line="240" w:lineRule="auto"/>
        <w:jc w:val="both"/>
        <w:rPr>
          <w:rFonts w:cstheme="minorHAnsi"/>
        </w:rPr>
      </w:pPr>
      <w:r w:rsidRPr="00671D91">
        <w:rPr>
          <w:rFonts w:cstheme="minorHAnsi"/>
        </w:rPr>
        <w:t>Joanna Fernández Sánchez. Universidad de Málaga, España</w:t>
      </w:r>
    </w:p>
    <w:p w14:paraId="25A72B11" w14:textId="77777777" w:rsidR="00FE3791" w:rsidRPr="00671D91" w:rsidRDefault="00FE3791" w:rsidP="00671D91">
      <w:pPr>
        <w:pStyle w:val="Prrafodelista"/>
        <w:numPr>
          <w:ilvl w:val="0"/>
          <w:numId w:val="13"/>
        </w:numPr>
        <w:spacing w:after="120" w:line="240" w:lineRule="auto"/>
        <w:jc w:val="both"/>
        <w:rPr>
          <w:rFonts w:cstheme="minorHAnsi"/>
        </w:rPr>
      </w:pPr>
      <w:r w:rsidRPr="00671D91">
        <w:rPr>
          <w:rFonts w:cstheme="minorHAnsi"/>
        </w:rPr>
        <w:t>Miguel Ángel García Martín. Universidad de Málaga</w:t>
      </w:r>
    </w:p>
    <w:p w14:paraId="4570A2AA" w14:textId="16B99BF9" w:rsidR="00FE3791" w:rsidRPr="00671D91" w:rsidRDefault="00FE3791" w:rsidP="00FE3791">
      <w:pPr>
        <w:pStyle w:val="Prrafodelista"/>
        <w:numPr>
          <w:ilvl w:val="0"/>
          <w:numId w:val="13"/>
        </w:numPr>
        <w:spacing w:after="120" w:line="240" w:lineRule="auto"/>
        <w:jc w:val="both"/>
        <w:rPr>
          <w:rFonts w:cstheme="minorHAnsi"/>
        </w:rPr>
      </w:pPr>
      <w:r w:rsidRPr="00671D91">
        <w:rPr>
          <w:rFonts w:cstheme="minorHAnsi"/>
        </w:rPr>
        <w:t>María D. Salas Martínez. Universidad de Málaga, España</w:t>
      </w:r>
    </w:p>
    <w:p w14:paraId="0D1D2D9A" w14:textId="69A16A88" w:rsidR="00FE3791" w:rsidRPr="00FE3791" w:rsidRDefault="00FE3791" w:rsidP="00FE3791">
      <w:pPr>
        <w:spacing w:after="120" w:line="240" w:lineRule="auto"/>
        <w:jc w:val="both"/>
        <w:rPr>
          <w:rFonts w:cstheme="minorHAnsi"/>
          <w:b/>
          <w:bCs/>
        </w:rPr>
      </w:pPr>
      <w:r w:rsidRPr="00FE3791">
        <w:rPr>
          <w:rFonts w:cstheme="minorHAnsi"/>
          <w:b/>
          <w:bCs/>
        </w:rPr>
        <w:t>Resumen</w:t>
      </w:r>
    </w:p>
    <w:p w14:paraId="336B1841" w14:textId="77777777" w:rsidR="00FE3791" w:rsidRPr="00FE3791" w:rsidRDefault="00FE3791" w:rsidP="00FE3791">
      <w:pPr>
        <w:spacing w:after="120" w:line="240" w:lineRule="auto"/>
        <w:jc w:val="both"/>
        <w:rPr>
          <w:rFonts w:cstheme="minorHAnsi"/>
        </w:rPr>
      </w:pPr>
      <w:r w:rsidRPr="00FE3791">
        <w:rPr>
          <w:rFonts w:cstheme="minorHAnsi"/>
        </w:rPr>
        <w:t xml:space="preserve">El Acogimiento Residencial (AR) sigue siendo un recurso indispensable para la protección de la infancia. Con más 16.000 tutelados, España sigue trabajando en la mejora de la calidad de los centros/hogares para garantizar el bienestar de la infancia. Para ello, el SPM de cada comunidad autónoma realiza inspecciones y controles de calidad de los centros residenciales con la intención de promover buenas prácticas educativas y sociales. Aunque, algunos autores señalan la necesidad de realizar evaluaciones avaladas por instrumentos científicos que permitan operacionalizar la calidad de la atención. Debido al creciente énfasis político internacional y nacional que promueve la desinstitucionalización de los niños y niñas, los programas de acogimiento residencial se encuentran bajo mucha presión, ya que deben mostrar evidencias de calidad y efectividad de su recurso. En este estudio se ha elaborado un instrumento basado en el Inventario de Características Arquitectónicas y Físicas (ICAF) del Sistema de Evaluación de Residencias de Ancianos (SERA) de Fernández-Ballesteros (1982, 1986 y 1987ª). A su vez, éste se inspiró en el </w:t>
      </w:r>
      <w:proofErr w:type="spellStart"/>
      <w:r w:rsidRPr="00FE3791">
        <w:rPr>
          <w:rFonts w:cstheme="minorHAnsi"/>
          <w:i/>
          <w:iCs/>
        </w:rPr>
        <w:t>Physical</w:t>
      </w:r>
      <w:proofErr w:type="spellEnd"/>
      <w:r w:rsidRPr="00FE3791">
        <w:rPr>
          <w:rFonts w:cstheme="minorHAnsi"/>
          <w:i/>
          <w:iCs/>
        </w:rPr>
        <w:t xml:space="preserve"> and Arquitectural </w:t>
      </w:r>
      <w:proofErr w:type="spellStart"/>
      <w:r w:rsidRPr="00FE3791">
        <w:rPr>
          <w:rFonts w:cstheme="minorHAnsi"/>
          <w:i/>
          <w:iCs/>
        </w:rPr>
        <w:t>Features</w:t>
      </w:r>
      <w:proofErr w:type="spellEnd"/>
      <w:r w:rsidRPr="00FE3791">
        <w:rPr>
          <w:rFonts w:cstheme="minorHAnsi"/>
          <w:i/>
          <w:iCs/>
        </w:rPr>
        <w:t xml:space="preserve"> </w:t>
      </w:r>
      <w:proofErr w:type="spellStart"/>
      <w:r w:rsidRPr="00FE3791">
        <w:rPr>
          <w:rFonts w:cstheme="minorHAnsi"/>
          <w:i/>
          <w:iCs/>
        </w:rPr>
        <w:t>Checklist</w:t>
      </w:r>
      <w:proofErr w:type="spellEnd"/>
      <w:r w:rsidRPr="00FE3791">
        <w:rPr>
          <w:rFonts w:cstheme="minorHAnsi"/>
        </w:rPr>
        <w:t xml:space="preserve"> (PAF) del </w:t>
      </w:r>
      <w:proofErr w:type="spellStart"/>
      <w:r w:rsidRPr="00FE3791">
        <w:rPr>
          <w:rFonts w:cstheme="minorHAnsi"/>
          <w:i/>
          <w:iCs/>
        </w:rPr>
        <w:t>Multhiphasic</w:t>
      </w:r>
      <w:proofErr w:type="spellEnd"/>
      <w:r w:rsidRPr="00FE3791">
        <w:rPr>
          <w:rFonts w:cstheme="minorHAnsi"/>
          <w:i/>
          <w:iCs/>
        </w:rPr>
        <w:t xml:space="preserve"> </w:t>
      </w:r>
      <w:proofErr w:type="spellStart"/>
      <w:r w:rsidRPr="00FE3791">
        <w:rPr>
          <w:rFonts w:cstheme="minorHAnsi"/>
          <w:i/>
          <w:iCs/>
        </w:rPr>
        <w:t>Environmental</w:t>
      </w:r>
      <w:proofErr w:type="spellEnd"/>
      <w:r w:rsidRPr="00FE3791">
        <w:rPr>
          <w:rFonts w:cstheme="minorHAnsi"/>
          <w:i/>
          <w:iCs/>
        </w:rPr>
        <w:t xml:space="preserve"> </w:t>
      </w:r>
      <w:proofErr w:type="spellStart"/>
      <w:r w:rsidRPr="00FE3791">
        <w:rPr>
          <w:rFonts w:cstheme="minorHAnsi"/>
          <w:i/>
          <w:iCs/>
        </w:rPr>
        <w:t>Assessment</w:t>
      </w:r>
      <w:proofErr w:type="spellEnd"/>
      <w:r w:rsidRPr="00FE3791">
        <w:rPr>
          <w:rFonts w:cstheme="minorHAnsi"/>
          <w:i/>
          <w:iCs/>
        </w:rPr>
        <w:t xml:space="preserve"> </w:t>
      </w:r>
      <w:proofErr w:type="spellStart"/>
      <w:r w:rsidRPr="00FE3791">
        <w:rPr>
          <w:rFonts w:cstheme="minorHAnsi"/>
          <w:i/>
          <w:iCs/>
        </w:rPr>
        <w:t>Procedure</w:t>
      </w:r>
      <w:proofErr w:type="spellEnd"/>
      <w:r w:rsidRPr="00FE3791">
        <w:rPr>
          <w:rFonts w:cstheme="minorHAnsi"/>
        </w:rPr>
        <w:t xml:space="preserve"> (MEAP) de </w:t>
      </w:r>
      <w:proofErr w:type="spellStart"/>
      <w:r w:rsidRPr="00FE3791">
        <w:rPr>
          <w:rFonts w:cstheme="minorHAnsi"/>
        </w:rPr>
        <w:t>Moos</w:t>
      </w:r>
      <w:proofErr w:type="spellEnd"/>
      <w:r w:rsidRPr="00FE3791">
        <w:rPr>
          <w:rFonts w:cstheme="minorHAnsi"/>
        </w:rPr>
        <w:t xml:space="preserve"> y </w:t>
      </w:r>
      <w:proofErr w:type="spellStart"/>
      <w:r w:rsidRPr="00FE3791">
        <w:rPr>
          <w:rFonts w:cstheme="minorHAnsi"/>
        </w:rPr>
        <w:t>Lemke</w:t>
      </w:r>
      <w:proofErr w:type="spellEnd"/>
      <w:r w:rsidRPr="00FE3791">
        <w:rPr>
          <w:rFonts w:cstheme="minorHAnsi"/>
        </w:rPr>
        <w:t xml:space="preserve"> (1979). El objetivo de este instrumento es aportar al Trabajo Social una herramienta actualizada y técnica adaptada al ámbito del acogimiento residencial de menores, cuya intención es evaluar las características arquitectónicas y físicas de las instalaciones interiores y exteriores de los centros residenciales. Además de identificar y abordar los problemas ambientales que pueden influir y afectar a la calidad de la atención de los profesionales. Esta herramienta es un documento “ad hoc” que forma parte de una batería de instrumentos de una investigación más amplia. Se trata de una propuesta de protocolo o herramienta conjunta que agrupa una serie de criterios y dimensiones básicas que puede ayudar a los Trabajadores Sociales a evaluar/valorar la calidad de los centros u hogares de protección en España. Esta herramienta se ha aplicado en centros de protección de la provincia de Málaga del programa de Acogimiento Residencial Básico (ARB). Tras el análisis de los resultados, en general, los centros de protección cumplen con las normativas y las condiciones mínimas exigidas para garantizar el bienestar y protección de los menores, aunque se podrían realizar mejoras en aspectos como, por ejemplo, el mantenimiento (conservación, preservación, cuidado, limpieza, etc.), la vigilancia o los recursos materiales (mobiliario, aparatos electrónicos). Como conclusión, existen diferencias evidentes entre aquellas entidades que reciben recursos económicos que no solo proceden de la entidad pública (p. e. donaciones, fines religiosos, financiación privada, propiedades, etc.), ya que tienen un presupuesto más abultado que les permite invertir en la mejora de la calidad, mantenimiento o renovación de sus bienes (mobiliario, electrónicos, etc.) y servicios. También son importantes los factores externos como la localización (zona rural, periférica, costera, urbana, etc.), el número de habitantes o los medios de transporte. Para futuros estudios se plantea cotejar los datos recogidos objetivamente en este estudio con la percepción subjetiva de los niños y niñas, los profesionales y los directores y directoras de los centros de protección evaluados. </w:t>
      </w:r>
    </w:p>
    <w:p w14:paraId="2479A797" w14:textId="03B5CBF5" w:rsidR="00FE3791" w:rsidRPr="00FE3791" w:rsidRDefault="00FE3791" w:rsidP="00FE3791">
      <w:pPr>
        <w:spacing w:after="120" w:line="240" w:lineRule="auto"/>
        <w:jc w:val="both"/>
        <w:rPr>
          <w:rFonts w:cstheme="minorHAnsi"/>
        </w:rPr>
      </w:pPr>
      <w:r w:rsidRPr="00FE3791">
        <w:rPr>
          <w:rFonts w:cstheme="minorHAnsi"/>
          <w:b/>
          <w:bCs/>
        </w:rPr>
        <w:lastRenderedPageBreak/>
        <w:t>Palabras clave</w:t>
      </w:r>
      <w:r w:rsidRPr="00FE3791">
        <w:rPr>
          <w:rFonts w:cstheme="minorHAnsi"/>
        </w:rPr>
        <w:t xml:space="preserve">: evaluación de calidad, protección de la infancia, bienestar de la infancia, acogimiento residencial, Trabajo Social. </w:t>
      </w:r>
    </w:p>
    <w:p w14:paraId="6A1F179B" w14:textId="77777777" w:rsidR="00FE3791" w:rsidRPr="00FE3791" w:rsidRDefault="00FE3791" w:rsidP="00FE3791">
      <w:pPr>
        <w:shd w:val="clear" w:color="auto" w:fill="FFFFFF"/>
        <w:spacing w:after="120" w:line="240" w:lineRule="auto"/>
        <w:jc w:val="both"/>
        <w:rPr>
          <w:rFonts w:cstheme="minorHAnsi"/>
          <w:b/>
          <w:color w:val="FF0000"/>
        </w:rPr>
      </w:pPr>
    </w:p>
    <w:p w14:paraId="7F5FC036" w14:textId="77777777" w:rsidR="00FE3791" w:rsidRPr="00FE3791" w:rsidRDefault="00FE3791" w:rsidP="00FE3791">
      <w:pPr>
        <w:shd w:val="clear" w:color="auto" w:fill="DEEAF6" w:themeFill="accent5" w:themeFillTint="33"/>
        <w:spacing w:after="120" w:line="240" w:lineRule="auto"/>
        <w:jc w:val="both"/>
        <w:rPr>
          <w:rFonts w:eastAsia="Times New Roman" w:cstheme="minorHAnsi"/>
          <w:b/>
          <w:lang w:eastAsia="es-ES"/>
        </w:rPr>
      </w:pPr>
      <w:r w:rsidRPr="00FE3791">
        <w:rPr>
          <w:rFonts w:cstheme="minorHAnsi"/>
          <w:b/>
          <w:bCs/>
        </w:rPr>
        <w:t>Título</w:t>
      </w:r>
      <w:r w:rsidRPr="00FE3791">
        <w:rPr>
          <w:rFonts w:cstheme="minorHAnsi"/>
          <w:b/>
        </w:rPr>
        <w:t xml:space="preserve">: </w:t>
      </w:r>
      <w:r w:rsidRPr="00FE3791">
        <w:rPr>
          <w:rFonts w:eastAsia="Times New Roman" w:cstheme="minorHAnsi"/>
          <w:b/>
          <w:lang w:eastAsia="es-ES"/>
        </w:rPr>
        <w:t>Trabajo Social con Comunidades. Carrera solidaria de sensibilización sobre la discapacidad visual.</w:t>
      </w:r>
    </w:p>
    <w:p w14:paraId="51687947" w14:textId="301296E9"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36E5A97C" w14:textId="77777777" w:rsidR="00FE3791" w:rsidRDefault="00FE3791" w:rsidP="00FE37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color w:val="000000"/>
          <w:sz w:val="22"/>
          <w:szCs w:val="22"/>
        </w:rPr>
      </w:pPr>
      <w:r w:rsidRPr="00FE3791">
        <w:rPr>
          <w:rFonts w:asciiTheme="minorHAnsi" w:hAnsiTheme="minorHAnsi" w:cstheme="minorHAnsi"/>
          <w:color w:val="000000"/>
          <w:sz w:val="22"/>
          <w:szCs w:val="22"/>
          <w:shd w:val="clear" w:color="auto" w:fill="FFFFFF"/>
        </w:rPr>
        <w:t>Guillermo Pelegrín Gómez</w:t>
      </w:r>
    </w:p>
    <w:p w14:paraId="51A7E388" w14:textId="77777777" w:rsidR="00FE3791" w:rsidRDefault="00FE3791" w:rsidP="00FE37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color w:val="000000"/>
          <w:sz w:val="22"/>
          <w:szCs w:val="22"/>
        </w:rPr>
      </w:pPr>
      <w:r w:rsidRPr="00FE3791">
        <w:rPr>
          <w:rFonts w:asciiTheme="minorHAnsi" w:hAnsiTheme="minorHAnsi" w:cstheme="minorHAnsi"/>
          <w:color w:val="000000"/>
          <w:sz w:val="22"/>
          <w:szCs w:val="22"/>
          <w:shd w:val="clear" w:color="auto" w:fill="FFFFFF"/>
        </w:rPr>
        <w:t>Rubén Estepa, Ramos</w:t>
      </w:r>
    </w:p>
    <w:p w14:paraId="6CE7F44C" w14:textId="77777777" w:rsidR="00FE3791" w:rsidRDefault="00FE3791" w:rsidP="00FE37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color w:val="000000"/>
          <w:sz w:val="22"/>
          <w:szCs w:val="22"/>
        </w:rPr>
      </w:pPr>
      <w:r w:rsidRPr="00FE3791">
        <w:rPr>
          <w:rFonts w:asciiTheme="minorHAnsi" w:hAnsiTheme="minorHAnsi" w:cstheme="minorHAnsi"/>
          <w:color w:val="000000"/>
          <w:sz w:val="22"/>
          <w:szCs w:val="22"/>
          <w:shd w:val="clear" w:color="auto" w:fill="FFFFFF"/>
        </w:rPr>
        <w:t>Paula Ferrero Manzano</w:t>
      </w:r>
    </w:p>
    <w:p w14:paraId="7818AA1B" w14:textId="77777777" w:rsidR="00FE3791" w:rsidRDefault="00FE3791" w:rsidP="00FE37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color w:val="000000"/>
          <w:sz w:val="22"/>
          <w:szCs w:val="22"/>
        </w:rPr>
      </w:pPr>
      <w:r w:rsidRPr="00FE3791">
        <w:rPr>
          <w:rFonts w:asciiTheme="minorHAnsi" w:hAnsiTheme="minorHAnsi" w:cstheme="minorHAnsi"/>
          <w:color w:val="000000"/>
          <w:sz w:val="22"/>
          <w:szCs w:val="22"/>
          <w:shd w:val="clear" w:color="auto" w:fill="FFFFFF"/>
        </w:rPr>
        <w:t>Rocío González Riquelme</w:t>
      </w:r>
    </w:p>
    <w:p w14:paraId="69C24421" w14:textId="684D0DDB" w:rsidR="00FE3791" w:rsidRPr="00FE3791" w:rsidRDefault="00FE3791" w:rsidP="00FE3791">
      <w:pPr>
        <w:pStyle w:val="v1elementtoproof"/>
        <w:numPr>
          <w:ilvl w:val="0"/>
          <w:numId w:val="13"/>
        </w:numPr>
        <w:shd w:val="clear" w:color="auto" w:fill="FFFFFF"/>
        <w:spacing w:before="0" w:beforeAutospacing="0" w:after="120" w:afterAutospacing="0"/>
        <w:ind w:left="714" w:hanging="357"/>
        <w:jc w:val="both"/>
        <w:rPr>
          <w:rFonts w:asciiTheme="minorHAnsi" w:hAnsiTheme="minorHAnsi" w:cstheme="minorHAnsi"/>
          <w:color w:val="000000"/>
          <w:sz w:val="22"/>
          <w:szCs w:val="22"/>
        </w:rPr>
      </w:pPr>
      <w:r w:rsidRPr="00FE3791">
        <w:rPr>
          <w:rFonts w:asciiTheme="minorHAnsi" w:hAnsiTheme="minorHAnsi" w:cstheme="minorHAnsi"/>
          <w:color w:val="000000"/>
          <w:sz w:val="22"/>
          <w:szCs w:val="22"/>
          <w:shd w:val="clear" w:color="auto" w:fill="FFFFFF"/>
        </w:rPr>
        <w:t>Tabata, Martín Matías</w:t>
      </w:r>
      <w:r>
        <w:rPr>
          <w:rFonts w:asciiTheme="minorHAnsi" w:hAnsiTheme="minorHAnsi" w:cstheme="minorHAnsi"/>
          <w:color w:val="000000"/>
          <w:sz w:val="22"/>
          <w:szCs w:val="22"/>
          <w:shd w:val="clear" w:color="auto" w:fill="FFFFFF"/>
        </w:rPr>
        <w:t>. UCM</w:t>
      </w:r>
    </w:p>
    <w:p w14:paraId="435D552D" w14:textId="77777777" w:rsidR="00FE3791" w:rsidRDefault="00FE3791" w:rsidP="00FE3791">
      <w:pPr>
        <w:pStyle w:val="v1elementtoproof"/>
        <w:shd w:val="clear" w:color="auto" w:fill="FFFFFF"/>
        <w:spacing w:before="0" w:beforeAutospacing="0" w:after="120" w:afterAutospacing="0"/>
        <w:jc w:val="both"/>
        <w:rPr>
          <w:rFonts w:asciiTheme="minorHAnsi" w:hAnsiTheme="minorHAnsi" w:cstheme="minorHAnsi"/>
          <w:color w:val="000000"/>
          <w:sz w:val="22"/>
          <w:szCs w:val="22"/>
        </w:rPr>
      </w:pPr>
      <w:r w:rsidRPr="00FE3791">
        <w:rPr>
          <w:rFonts w:asciiTheme="minorHAnsi" w:hAnsiTheme="minorHAnsi" w:cstheme="minorHAnsi"/>
          <w:b/>
          <w:sz w:val="22"/>
          <w:szCs w:val="22"/>
        </w:rPr>
        <w:t>Resumen</w:t>
      </w:r>
      <w:r w:rsidRPr="00FE3791">
        <w:rPr>
          <w:rFonts w:asciiTheme="minorHAnsi" w:hAnsiTheme="minorHAnsi" w:cstheme="minorHAnsi"/>
          <w:color w:val="000000"/>
          <w:sz w:val="22"/>
          <w:szCs w:val="22"/>
        </w:rPr>
        <w:br/>
      </w:r>
      <w:r w:rsidRPr="00FE3791">
        <w:rPr>
          <w:rFonts w:asciiTheme="minorHAnsi" w:hAnsiTheme="minorHAnsi" w:cstheme="minorHAnsi"/>
          <w:color w:val="000000"/>
          <w:sz w:val="22"/>
          <w:szCs w:val="22"/>
          <w:shd w:val="clear" w:color="auto" w:fill="FFFFFF"/>
        </w:rPr>
        <w:t>En el marco de la asignatura de Trabajo Social con Comunidades, hemos concebido, implementado y evaluado un proyecto de intervención alineado con los Objetivos del Desarrollo Sostenible. La iniciativa consistió en una carrera a ciegas con el propósito de visibilizar la discapacidad visual a través del deporte inclusivo y sensibilizar a la comunidad universitaria de la Facultad de Trabajo Social de la Universidad Complutense de Madrid.</w:t>
      </w:r>
    </w:p>
    <w:p w14:paraId="66AE39A0" w14:textId="77777777" w:rsidR="00FE3791" w:rsidRDefault="00FE3791" w:rsidP="00FE3791">
      <w:pPr>
        <w:pStyle w:val="v1elementtoproof"/>
        <w:shd w:val="clear" w:color="auto" w:fill="FFFFFF"/>
        <w:spacing w:before="0" w:beforeAutospacing="0" w:after="120" w:afterAutospacing="0"/>
        <w:jc w:val="both"/>
        <w:rPr>
          <w:rFonts w:asciiTheme="minorHAnsi" w:hAnsiTheme="minorHAnsi" w:cstheme="minorHAnsi"/>
          <w:color w:val="000000"/>
          <w:sz w:val="22"/>
          <w:szCs w:val="22"/>
          <w:shd w:val="clear" w:color="auto" w:fill="FFFFFF"/>
        </w:rPr>
      </w:pPr>
      <w:r w:rsidRPr="00FE3791">
        <w:rPr>
          <w:rFonts w:asciiTheme="minorHAnsi" w:hAnsiTheme="minorHAnsi" w:cstheme="minorHAnsi"/>
          <w:color w:val="000000"/>
          <w:sz w:val="22"/>
          <w:szCs w:val="22"/>
          <w:shd w:val="clear" w:color="auto" w:fill="FFFFFF"/>
        </w:rPr>
        <w:t>Nuestros resultados revelan que fomentar la conciencia y la empatía hacia las experiencias de las personas con discapacidad visual, al permitir que individuos sin discapacidad experimenten, aunque sea brevemente, la sensación de correr sin el sentido de la vista, puede contribuir significativamente a comprender cómo se vive</w:t>
      </w:r>
      <w:r>
        <w:rPr>
          <w:rFonts w:asciiTheme="minorHAnsi" w:hAnsiTheme="minorHAnsi" w:cstheme="minorHAnsi"/>
          <w:color w:val="000000"/>
          <w:sz w:val="22"/>
          <w:szCs w:val="22"/>
          <w:shd w:val="clear" w:color="auto" w:fill="FFFFFF"/>
        </w:rPr>
        <w:t xml:space="preserve"> </w:t>
      </w:r>
      <w:r w:rsidRPr="00FE3791">
        <w:rPr>
          <w:rFonts w:asciiTheme="minorHAnsi" w:hAnsiTheme="minorHAnsi" w:cstheme="minorHAnsi"/>
          <w:color w:val="000000"/>
          <w:sz w:val="22"/>
          <w:szCs w:val="22"/>
          <w:shd w:val="clear" w:color="auto" w:fill="FFFFFF"/>
        </w:rPr>
        <w:t>sin uno de los sentidos.</w:t>
      </w:r>
    </w:p>
    <w:p w14:paraId="0CBFB66A" w14:textId="496FF246"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color w:val="000000"/>
          <w:sz w:val="22"/>
          <w:szCs w:val="22"/>
          <w:shd w:val="clear" w:color="auto" w:fill="FFFFFF"/>
        </w:rPr>
      </w:pPr>
      <w:r w:rsidRPr="00FE3791">
        <w:rPr>
          <w:rFonts w:asciiTheme="minorHAnsi" w:hAnsiTheme="minorHAnsi" w:cstheme="minorHAnsi"/>
          <w:color w:val="000000"/>
          <w:sz w:val="22"/>
          <w:szCs w:val="22"/>
          <w:shd w:val="clear" w:color="auto" w:fill="FFFFFF"/>
        </w:rPr>
        <w:t>En conclusión, destacamos la importancia de desarrollar proyectos de intervención significativos que aborden de manera efectiva los desafíos que enfrentan las personas con discapacidad visual en su vida diaria. Este enfoque no solo ofrece experiencias impactantes, sino que también promueve una mayor comprensión y solidaridad hacia esta comunidad.</w:t>
      </w:r>
    </w:p>
    <w:p w14:paraId="2FE48B65" w14:textId="77777777" w:rsidR="00FE3791" w:rsidRDefault="00FE3791" w:rsidP="00FE3791">
      <w:pPr>
        <w:spacing w:after="120" w:line="240" w:lineRule="auto"/>
        <w:jc w:val="both"/>
        <w:rPr>
          <w:rFonts w:cstheme="minorHAnsi"/>
          <w:b/>
          <w:bCs/>
        </w:rPr>
      </w:pPr>
    </w:p>
    <w:p w14:paraId="1F874269" w14:textId="32097544" w:rsidR="00FE3791" w:rsidRPr="00FE3791" w:rsidRDefault="00FE3791" w:rsidP="00FE3791">
      <w:pPr>
        <w:shd w:val="clear" w:color="auto" w:fill="DEEAF6" w:themeFill="accent5" w:themeFillTint="33"/>
        <w:spacing w:after="120" w:line="240" w:lineRule="auto"/>
        <w:jc w:val="both"/>
        <w:rPr>
          <w:rFonts w:cstheme="minorHAnsi"/>
          <w:b/>
          <w:lang w:val="es-ES_tradnl"/>
        </w:rPr>
      </w:pPr>
      <w:r w:rsidRPr="00FE3791">
        <w:rPr>
          <w:rFonts w:cstheme="minorHAnsi"/>
          <w:b/>
          <w:bCs/>
        </w:rPr>
        <w:t>Título</w:t>
      </w:r>
      <w:r w:rsidRPr="00FE3791">
        <w:rPr>
          <w:rFonts w:cstheme="minorHAnsi"/>
          <w:b/>
        </w:rPr>
        <w:t xml:space="preserve">: </w:t>
      </w:r>
      <w:r w:rsidRPr="00FE3791">
        <w:rPr>
          <w:rFonts w:cstheme="minorHAnsi"/>
          <w:b/>
          <w:lang w:val="es-ES_tradnl"/>
        </w:rPr>
        <w:t>Trabajo Social Rural: los retos específicos que perciben sus profesionales.</w:t>
      </w:r>
    </w:p>
    <w:p w14:paraId="09703BE6" w14:textId="0B8936A7"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w:t>
      </w:r>
      <w:r>
        <w:rPr>
          <w:rFonts w:eastAsia="Times New Roman" w:cstheme="minorHAnsi"/>
          <w:b/>
          <w:lang w:eastAsia="es-ES"/>
        </w:rPr>
        <w:t xml:space="preserve"> </w:t>
      </w:r>
      <w:r w:rsidRPr="00FE3791">
        <w:rPr>
          <w:rFonts w:eastAsia="Times New Roman" w:cstheme="minorHAnsi"/>
          <w:b/>
          <w:lang w:eastAsia="es-ES"/>
        </w:rPr>
        <w:t>de autores/as:</w:t>
      </w:r>
    </w:p>
    <w:p w14:paraId="6EA9D8B5" w14:textId="77777777" w:rsidR="00FE3791" w:rsidRDefault="00FE3791" w:rsidP="00FE3791">
      <w:pPr>
        <w:pStyle w:val="Prrafodelista"/>
        <w:numPr>
          <w:ilvl w:val="0"/>
          <w:numId w:val="13"/>
        </w:numPr>
        <w:spacing w:after="120" w:line="240" w:lineRule="auto"/>
        <w:jc w:val="both"/>
        <w:rPr>
          <w:rFonts w:cstheme="minorHAnsi"/>
          <w:lang w:val="es-ES_tradnl"/>
        </w:rPr>
      </w:pPr>
      <w:r w:rsidRPr="00FE3791">
        <w:rPr>
          <w:rFonts w:cstheme="minorHAnsi"/>
          <w:lang w:val="es-ES_tradnl"/>
        </w:rPr>
        <w:t xml:space="preserve">Ana Laura López </w:t>
      </w:r>
      <w:proofErr w:type="spellStart"/>
      <w:r w:rsidRPr="00FE3791">
        <w:rPr>
          <w:rFonts w:cstheme="minorHAnsi"/>
          <w:lang w:val="es-ES_tradnl"/>
        </w:rPr>
        <w:t>Carlassare</w:t>
      </w:r>
      <w:proofErr w:type="spellEnd"/>
      <w:r w:rsidRPr="00FE3791">
        <w:rPr>
          <w:rFonts w:cstheme="minorHAnsi"/>
          <w:lang w:val="es-ES_tradnl"/>
        </w:rPr>
        <w:t xml:space="preserve"> - Universidad de Málaga</w:t>
      </w:r>
    </w:p>
    <w:p w14:paraId="25CD8EFB" w14:textId="050B1495" w:rsidR="00FE3791" w:rsidRPr="00FE3791" w:rsidRDefault="00FE3791" w:rsidP="00FE3791">
      <w:pPr>
        <w:pStyle w:val="Prrafodelista"/>
        <w:numPr>
          <w:ilvl w:val="0"/>
          <w:numId w:val="13"/>
        </w:numPr>
        <w:spacing w:after="120" w:line="240" w:lineRule="auto"/>
        <w:jc w:val="both"/>
        <w:rPr>
          <w:rFonts w:cstheme="minorHAnsi"/>
          <w:lang w:val="es-ES_tradnl"/>
        </w:rPr>
      </w:pPr>
      <w:r w:rsidRPr="00FE3791">
        <w:rPr>
          <w:rFonts w:cstheme="minorHAnsi"/>
          <w:lang w:val="es-ES_tradnl"/>
        </w:rPr>
        <w:t>Javier Pacheco Mangas - Universidad de Málaga</w:t>
      </w:r>
    </w:p>
    <w:p w14:paraId="59F2F5B8" w14:textId="15214324" w:rsidR="00FE3791" w:rsidRPr="00FE3791" w:rsidRDefault="00FE3791" w:rsidP="00FE3791">
      <w:pPr>
        <w:pStyle w:val="v1elementtoproof"/>
        <w:shd w:val="clear" w:color="auto" w:fill="FFFFFF"/>
        <w:spacing w:before="0" w:beforeAutospacing="0" w:after="120" w:afterAutospacing="0"/>
        <w:rPr>
          <w:rFonts w:asciiTheme="minorHAnsi" w:hAnsiTheme="minorHAnsi" w:cstheme="minorHAnsi"/>
          <w:b/>
          <w:bCs/>
          <w:color w:val="FF0000"/>
          <w:sz w:val="22"/>
          <w:szCs w:val="22"/>
        </w:rPr>
      </w:pPr>
      <w:r w:rsidRPr="00FE3791">
        <w:rPr>
          <w:rFonts w:asciiTheme="minorHAnsi" w:hAnsiTheme="minorHAnsi" w:cstheme="minorHAnsi"/>
          <w:b/>
          <w:sz w:val="22"/>
          <w:szCs w:val="22"/>
        </w:rPr>
        <w:t>Resumen</w:t>
      </w:r>
    </w:p>
    <w:p w14:paraId="58C97912" w14:textId="77777777" w:rsidR="00FE3791" w:rsidRPr="00FE3791" w:rsidRDefault="00FE3791" w:rsidP="00FE3791">
      <w:pPr>
        <w:spacing w:after="120" w:line="240" w:lineRule="auto"/>
        <w:jc w:val="both"/>
        <w:rPr>
          <w:rFonts w:cstheme="minorHAnsi"/>
        </w:rPr>
      </w:pPr>
      <w:r w:rsidRPr="00FE3791">
        <w:rPr>
          <w:rFonts w:cstheme="minorHAnsi"/>
        </w:rPr>
        <w:t xml:space="preserve">Los ámbitos rurales enfrentan retos multinivel: falta de oportunidades económicas y de diversificación en alternativas laborales, con dependencia de industrias tradicionales; la limitada infraestructura obstaculiza la prestación de servicios, el crecimiento económico sostenible y la calidad de vida de sus residentes; la baja densidad poblacional y la dispersión geográfica dificultan el acceso a servicios básicos; ciertas prácticas agrícolas arriesgan la preservación de recursos naturales y medioambientales; la brecha digital limita el acceso a información, servicios y oportunidades de desarrollo educativo y económico; la despoblación y el envejecimiento disminuyen su vitalidad. A estos desafíos, generales, se añaden retos específicos para las profesionales de la acción social y mediante sus actuaciones buscan mejorar la situación de las comunidades e individuos, promoviendo su bienestar. El Trabajo Social rural presenta desafíos únicos y complejos que requieren de enfoques especializados y sensibles a las particularidades de estas zonas y sus comunidades. En esta línea, este estudio aborda la percepción de las profesionales del Trabajo Social sobre los retos específicos que enfrentan en los contextos rurales. La información parte de las respuestas a una pregunta abierta a profesionales del Trabajo Social del estado español, que realizan sus funciones en Servicios Sociales Comunitarios de municipios rurales de tamaño reducido. La pregunta forma parte de un instrumento más </w:t>
      </w:r>
      <w:r w:rsidRPr="00FE3791">
        <w:rPr>
          <w:rFonts w:cstheme="minorHAnsi"/>
        </w:rPr>
        <w:lastRenderedPageBreak/>
        <w:t xml:space="preserve">amplio de carácter cuantitativo que ha alcanzado a 53 profesionales de 39 provincias. Los resultados destacan entre los principales retos: el acceso limitado a servicios, también los sociales; situaciones de desigualdad socioeconómica persistente en individuos y colectivos;  escasez de recursos o inestabilidad temporal de los mismos; sobre-envejecimiento de la población, lo que tiene implicaciones en la planificación de los servicios y recursos ofrecidos; soledad de las personas mayores e incluso de otras que no lo son; percepción de aislamiento de las personas usuarias y de otras residentes en estos municipios o en los diseminados; dificultades en ampliar la participación. Abordar estos retos específicos requiere conseguir y mantener un enfoque integral que involucre la colaboración y cooperación entre las autoridades políticas a diferente escala, las organizaciones presentes en la comunidad, el sector privado y otros muchos actores relevantes, entre los que se hallan los Servicios Sociales Comunitarios y sus profesionales de referencia, los y las trabajadoras sociales. Además, pasa por diversas planificaciones y acciones específicas: la implicación de las personas jóvenes y la realización de actividades con enfoque intergeneracional, la adaptación de las intervenciones a las particularidades culturales, de tradición y costumbres y a los conocimientos y redes de apoyo existentes en estas comunidades. También pasa por combatir la estigmatización y falta de reconocimiento del Trabajo Social en entornos rurales, evitando subestimar sus contribuciones y la especialización que han conseguido con el pasar de los años. Esto implica a la profesión y sus profesionales en una labor específica de incidencia política que también debe fortalecerse. Además, se subraya la importancia de capacitar y formar a estas profesionales para que puedan realizar sus actividades laborales en esta dirección y atendiendo a las particularidades que presentan las zonas rurales. </w:t>
      </w:r>
    </w:p>
    <w:p w14:paraId="44369097" w14:textId="77777777" w:rsidR="00FE3791" w:rsidRPr="00FE3791" w:rsidRDefault="00FE3791" w:rsidP="00FE3791">
      <w:pPr>
        <w:spacing w:after="120" w:line="240" w:lineRule="auto"/>
        <w:jc w:val="both"/>
        <w:rPr>
          <w:rFonts w:cstheme="minorHAnsi"/>
        </w:rPr>
      </w:pPr>
      <w:r w:rsidRPr="00FE3791">
        <w:rPr>
          <w:rFonts w:cstheme="minorHAnsi"/>
          <w:b/>
        </w:rPr>
        <w:t>Palabras clave:</w:t>
      </w:r>
      <w:r w:rsidRPr="00FE3791">
        <w:rPr>
          <w:rFonts w:cstheme="minorHAnsi"/>
        </w:rPr>
        <w:t xml:space="preserve"> Trabajo Social, rural, profesionales, retos, desafíos</w:t>
      </w:r>
    </w:p>
    <w:p w14:paraId="31C5AFB7"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color w:val="000000"/>
          <w:sz w:val="22"/>
          <w:szCs w:val="22"/>
        </w:rPr>
      </w:pPr>
    </w:p>
    <w:p w14:paraId="46DFC286" w14:textId="5A94E1CF" w:rsidR="00FE3791" w:rsidRPr="00FE3791" w:rsidRDefault="00FE3791" w:rsidP="00FE3791">
      <w:pPr>
        <w:shd w:val="clear" w:color="auto" w:fill="DEEAF6" w:themeFill="accent5" w:themeFillTint="33"/>
        <w:spacing w:after="120" w:line="240" w:lineRule="auto"/>
        <w:jc w:val="both"/>
        <w:rPr>
          <w:rFonts w:cstheme="minorHAnsi"/>
          <w:b/>
          <w:bCs/>
        </w:rPr>
      </w:pPr>
      <w:r w:rsidRPr="00FE3791">
        <w:rPr>
          <w:rFonts w:cstheme="minorHAnsi"/>
          <w:b/>
          <w:bCs/>
        </w:rPr>
        <w:t xml:space="preserve">Título: </w:t>
      </w:r>
      <w:r w:rsidRPr="00FE3791">
        <w:rPr>
          <w:rFonts w:cstheme="minorHAnsi"/>
          <w:b/>
        </w:rPr>
        <w:t>¿Cómo un voluntariado universitario en Tanzania me ayudo a hacer mi TFG de Trabajo Social?</w:t>
      </w:r>
    </w:p>
    <w:p w14:paraId="3652F702" w14:textId="282CAD64"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105A6864" w14:textId="6CC78518" w:rsidR="00FE3791" w:rsidRPr="00FE3791" w:rsidRDefault="00FE3791" w:rsidP="00FE3791">
      <w:pPr>
        <w:pStyle w:val="Prrafodelista"/>
        <w:numPr>
          <w:ilvl w:val="0"/>
          <w:numId w:val="13"/>
        </w:numPr>
        <w:spacing w:after="120" w:line="240" w:lineRule="auto"/>
        <w:jc w:val="both"/>
        <w:rPr>
          <w:rFonts w:eastAsia="Times New Roman" w:cstheme="minorHAnsi"/>
          <w:lang w:eastAsia="es-ES"/>
        </w:rPr>
      </w:pPr>
      <w:r w:rsidRPr="00FE3791">
        <w:rPr>
          <w:rFonts w:eastAsia="Times New Roman" w:cstheme="minorHAnsi"/>
          <w:lang w:eastAsia="es-ES"/>
        </w:rPr>
        <w:t>Xavier Sureda Partida</w:t>
      </w:r>
      <w:r>
        <w:rPr>
          <w:rFonts w:eastAsia="Times New Roman" w:cstheme="minorHAnsi"/>
          <w:lang w:eastAsia="es-ES"/>
        </w:rPr>
        <w:t xml:space="preserve"> (UIB)</w:t>
      </w:r>
    </w:p>
    <w:p w14:paraId="77636EF6" w14:textId="1BDC8369" w:rsidR="00FE3791" w:rsidRPr="00FE3791" w:rsidRDefault="00FE3791" w:rsidP="00FE3791">
      <w:pPr>
        <w:shd w:val="clear" w:color="auto" w:fill="FFFFFF"/>
        <w:spacing w:after="120" w:line="240" w:lineRule="auto"/>
        <w:rPr>
          <w:rFonts w:eastAsia="Times New Roman" w:cstheme="minorHAnsi"/>
          <w:b/>
          <w:color w:val="000000"/>
          <w:lang w:eastAsia="es-ES"/>
        </w:rPr>
      </w:pPr>
      <w:r w:rsidRPr="00FE3791">
        <w:rPr>
          <w:rFonts w:eastAsia="Times New Roman" w:cstheme="minorHAnsi"/>
          <w:b/>
          <w:color w:val="000000"/>
          <w:lang w:eastAsia="es-ES"/>
        </w:rPr>
        <w:t>Resumen</w:t>
      </w:r>
    </w:p>
    <w:p w14:paraId="3CA4BAC5" w14:textId="75AA0305"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Como alumno del Grado de Trabajo Social en la Universidad de las Islas Baleares</w:t>
      </w:r>
      <w:r>
        <w:rPr>
          <w:rFonts w:asciiTheme="minorHAnsi" w:hAnsiTheme="minorHAnsi" w:cstheme="minorHAnsi"/>
          <w:sz w:val="22"/>
          <w:szCs w:val="22"/>
        </w:rPr>
        <w:t xml:space="preserve"> </w:t>
      </w:r>
      <w:r w:rsidRPr="00FE3791">
        <w:rPr>
          <w:rFonts w:asciiTheme="minorHAnsi" w:hAnsiTheme="minorHAnsi" w:cstheme="minorHAnsi"/>
          <w:sz w:val="22"/>
          <w:szCs w:val="22"/>
        </w:rPr>
        <w:t xml:space="preserve">(UIB), he participado en la XVII convocatoria </w:t>
      </w:r>
      <w:proofErr w:type="gramStart"/>
      <w:r w:rsidRPr="00FE3791">
        <w:rPr>
          <w:rFonts w:asciiTheme="minorHAnsi" w:hAnsiTheme="minorHAnsi" w:cstheme="minorHAnsi"/>
          <w:sz w:val="22"/>
          <w:szCs w:val="22"/>
        </w:rPr>
        <w:t>de ”</w:t>
      </w:r>
      <w:proofErr w:type="spellStart"/>
      <w:r w:rsidRPr="00FE3791">
        <w:rPr>
          <w:rFonts w:asciiTheme="minorHAnsi" w:hAnsiTheme="minorHAnsi" w:cstheme="minorHAnsi"/>
          <w:sz w:val="22"/>
          <w:szCs w:val="22"/>
        </w:rPr>
        <w:t>estades</w:t>
      </w:r>
      <w:proofErr w:type="spellEnd"/>
      <w:proofErr w:type="gramEnd"/>
      <w:r w:rsidRPr="00FE3791">
        <w:rPr>
          <w:rFonts w:asciiTheme="minorHAnsi" w:hAnsiTheme="minorHAnsi" w:cstheme="minorHAnsi"/>
          <w:sz w:val="22"/>
          <w:szCs w:val="22"/>
        </w:rPr>
        <w:t xml:space="preserve"> </w:t>
      </w:r>
      <w:proofErr w:type="spellStart"/>
      <w:r w:rsidRPr="00FE3791">
        <w:rPr>
          <w:rFonts w:asciiTheme="minorHAnsi" w:hAnsiTheme="minorHAnsi" w:cstheme="minorHAnsi"/>
          <w:sz w:val="22"/>
          <w:szCs w:val="22"/>
        </w:rPr>
        <w:t>solidaries</w:t>
      </w:r>
      <w:proofErr w:type="spellEnd"/>
      <w:r w:rsidRPr="00FE3791">
        <w:rPr>
          <w:rFonts w:asciiTheme="minorHAnsi" w:hAnsiTheme="minorHAnsi" w:cstheme="minorHAnsi"/>
          <w:sz w:val="22"/>
          <w:szCs w:val="22"/>
        </w:rPr>
        <w:t xml:space="preserve">” desarrollando un voluntariado universitario internacional organizado por la Oficina de Cooperación al Desarrollo y Solidaridad(OCDS) de la UIB, en el año 2022. </w:t>
      </w:r>
    </w:p>
    <w:p w14:paraId="42548AB3" w14:textId="0859451B"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El país en el que se realizó la acción fue Tanzania, donde junto a los profesionales de la Fundación </w:t>
      </w:r>
      <w:proofErr w:type="spellStart"/>
      <w:r w:rsidRPr="00FE3791">
        <w:rPr>
          <w:rFonts w:asciiTheme="minorHAnsi" w:hAnsiTheme="minorHAnsi" w:cstheme="minorHAnsi"/>
          <w:sz w:val="22"/>
          <w:szCs w:val="22"/>
        </w:rPr>
        <w:t>Tatu</w:t>
      </w:r>
      <w:proofErr w:type="spellEnd"/>
      <w:r w:rsidRPr="00FE3791">
        <w:rPr>
          <w:rFonts w:asciiTheme="minorHAnsi" w:hAnsiTheme="minorHAnsi" w:cstheme="minorHAnsi"/>
          <w:sz w:val="22"/>
          <w:szCs w:val="22"/>
        </w:rPr>
        <w:t xml:space="preserve"> Project, trabajaba en el programa medioambiental. Este programa daba respuesta a dos Objetivos del Desarrollo Sostenible de la Agenda 2030: el 4º, para garantizar una educación inclusiva, equitativa y de calidad y promover oportunidades de aprendizaje durante toda la vida de todos, y al 6º, para garantizar la disponibilidad de agua y su gestión sostenible y el saneamiento para todos. A raíz de esta experiencia, desarrollé la siguiente investigación, en la cual se busca identificar los beneficios y las competencias profesionales que han adquirido los voluntarios de la entidad </w:t>
      </w:r>
      <w:proofErr w:type="spellStart"/>
      <w:r w:rsidRPr="00FE3791">
        <w:rPr>
          <w:rFonts w:asciiTheme="minorHAnsi" w:hAnsiTheme="minorHAnsi" w:cstheme="minorHAnsi"/>
          <w:sz w:val="22"/>
          <w:szCs w:val="22"/>
        </w:rPr>
        <w:t>Tatu</w:t>
      </w:r>
      <w:proofErr w:type="spellEnd"/>
      <w:r w:rsidRPr="00FE3791">
        <w:rPr>
          <w:rFonts w:asciiTheme="minorHAnsi" w:hAnsiTheme="minorHAnsi" w:cstheme="minorHAnsi"/>
          <w:sz w:val="22"/>
          <w:szCs w:val="22"/>
        </w:rPr>
        <w:t xml:space="preserve"> Project, en Tanzania, tras su participación en el programa de voluntariado de cooperación al desarrollo, además de conocer la opinión de sus profesionales acerca de la figura del Trabajo Social en la ONG. </w:t>
      </w:r>
    </w:p>
    <w:p w14:paraId="4059BA56"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Para ello, se emplea un enfoque cualitativo, mediante la realización de entrevistas semiestructuradas a los voluntarios y profesionales. Se realizan un total de 6 entrevistas. Los resultados obtenidos muestran un gran número de beneficios y competencias profesionales desarrollados, divididos en varias categorías. </w:t>
      </w:r>
    </w:p>
    <w:p w14:paraId="4D4E4FC1"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En cuanto a los profesionales, estos opinan que el Trabajo Social tendría un papel clave en el desarrollo de las ONGD y la cooperación. En cuanto a la discusión, se han comparado estos resultados con los obtenidos por otros autores en sus investigaciones, encontrando muchas similitudes y añadiendo más beneficios a la temática. </w:t>
      </w:r>
    </w:p>
    <w:p w14:paraId="4E7B00D6" w14:textId="73A2CCFE"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lastRenderedPageBreak/>
        <w:t xml:space="preserve">Como conclusión, el voluntariado en </w:t>
      </w:r>
      <w:proofErr w:type="spellStart"/>
      <w:r w:rsidRPr="00FE3791">
        <w:rPr>
          <w:rFonts w:asciiTheme="minorHAnsi" w:hAnsiTheme="minorHAnsi" w:cstheme="minorHAnsi"/>
          <w:sz w:val="22"/>
          <w:szCs w:val="22"/>
        </w:rPr>
        <w:t>Tatu</w:t>
      </w:r>
      <w:proofErr w:type="spellEnd"/>
      <w:r w:rsidRPr="00FE3791">
        <w:rPr>
          <w:rFonts w:asciiTheme="minorHAnsi" w:hAnsiTheme="minorHAnsi" w:cstheme="minorHAnsi"/>
          <w:sz w:val="22"/>
          <w:szCs w:val="22"/>
        </w:rPr>
        <w:t xml:space="preserve"> Project es de una gran utilidad y tiene reconocidos beneficios para todos sus participantes, en todos los niveles expuestos, además de considerarse la labor del Trabajo Social como útil e importante dentro de la ONG y en la cooperación al desarrollo, vinculando la experiencia práctica con la teórica, adquiriendo conocimientos y competencias para la investigación y la acción y motivando a los participantes a seguir formándose en Trabajo Social. </w:t>
      </w:r>
    </w:p>
    <w:p w14:paraId="5FDBE429"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FE3791">
        <w:rPr>
          <w:rFonts w:asciiTheme="minorHAnsi" w:hAnsiTheme="minorHAnsi" w:cstheme="minorHAnsi"/>
          <w:b/>
          <w:sz w:val="22"/>
          <w:szCs w:val="22"/>
        </w:rPr>
        <w:t>Palabras clave:</w:t>
      </w:r>
      <w:r w:rsidRPr="00FE3791">
        <w:rPr>
          <w:rFonts w:asciiTheme="minorHAnsi" w:hAnsiTheme="minorHAnsi" w:cstheme="minorHAnsi"/>
          <w:sz w:val="22"/>
          <w:szCs w:val="22"/>
        </w:rPr>
        <w:t xml:space="preserve"> Cooperación al desarrollo, voluntariado, beneficios, competencias profesionales, Trabajo Social.</w:t>
      </w:r>
    </w:p>
    <w:p w14:paraId="66D1396F" w14:textId="77777777" w:rsidR="00FE3791" w:rsidRPr="00FE3791" w:rsidRDefault="00FE3791" w:rsidP="00FE3791">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557BE8AE" w14:textId="17B34CBF" w:rsidR="00FE3791" w:rsidRPr="00FE3791" w:rsidRDefault="00FE3791" w:rsidP="00FE3791">
      <w:pPr>
        <w:pStyle w:val="v1elementtoproof"/>
        <w:shd w:val="clear" w:color="auto" w:fill="DEEAF6" w:themeFill="accent5" w:themeFillTint="33"/>
        <w:spacing w:before="0" w:beforeAutospacing="0" w:after="120" w:afterAutospacing="0"/>
        <w:rPr>
          <w:rFonts w:asciiTheme="minorHAnsi" w:hAnsiTheme="minorHAnsi" w:cstheme="minorHAnsi"/>
          <w:b/>
          <w:sz w:val="22"/>
          <w:szCs w:val="22"/>
          <w:shd w:val="clear" w:color="auto" w:fill="FFFFFF"/>
        </w:rPr>
      </w:pPr>
      <w:r w:rsidRPr="00FE3791">
        <w:rPr>
          <w:rFonts w:asciiTheme="minorHAnsi" w:hAnsiTheme="minorHAnsi" w:cstheme="minorHAnsi"/>
          <w:b/>
          <w:bCs/>
          <w:sz w:val="22"/>
          <w:szCs w:val="22"/>
        </w:rPr>
        <w:t>Título</w:t>
      </w:r>
      <w:r>
        <w:rPr>
          <w:rFonts w:asciiTheme="minorHAnsi" w:hAnsiTheme="minorHAnsi" w:cstheme="minorHAnsi"/>
          <w:b/>
          <w:bCs/>
          <w:sz w:val="22"/>
          <w:szCs w:val="22"/>
        </w:rPr>
        <w:t>: Prevención del suicidio en personas mayores. Aproximación desde el trabajo social</w:t>
      </w:r>
    </w:p>
    <w:p w14:paraId="5AE2008C" w14:textId="74C3DD2D"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w:t>
      </w:r>
      <w:r>
        <w:rPr>
          <w:rFonts w:eastAsia="Times New Roman" w:cstheme="minorHAnsi"/>
          <w:b/>
          <w:lang w:eastAsia="es-ES"/>
        </w:rPr>
        <w:t>n</w:t>
      </w:r>
      <w:r w:rsidRPr="00FE3791">
        <w:rPr>
          <w:rFonts w:eastAsia="Times New Roman" w:cstheme="minorHAnsi"/>
          <w:b/>
          <w:lang w:eastAsia="es-ES"/>
        </w:rPr>
        <w:t xml:space="preserve"> de autores/as:</w:t>
      </w:r>
    </w:p>
    <w:p w14:paraId="571DC535" w14:textId="77777777" w:rsidR="00FE3791" w:rsidRPr="00FE3791" w:rsidRDefault="00FE3791" w:rsidP="00FE3791">
      <w:pPr>
        <w:pStyle w:val="Prrafodelista"/>
        <w:numPr>
          <w:ilvl w:val="0"/>
          <w:numId w:val="13"/>
        </w:numPr>
        <w:spacing w:after="120" w:line="240" w:lineRule="auto"/>
        <w:jc w:val="both"/>
        <w:rPr>
          <w:rFonts w:eastAsia="Times New Roman" w:cstheme="minorHAnsi"/>
          <w:b/>
          <w:lang w:eastAsia="es-ES"/>
        </w:rPr>
      </w:pPr>
      <w:r w:rsidRPr="00FE3791">
        <w:rPr>
          <w:rFonts w:cstheme="minorHAnsi"/>
          <w:shd w:val="clear" w:color="auto" w:fill="FFFFFF"/>
        </w:rPr>
        <w:t>Thalía Postigo López</w:t>
      </w:r>
    </w:p>
    <w:p w14:paraId="15D0B9D9" w14:textId="77777777" w:rsidR="00FE3791" w:rsidRPr="00FE3791" w:rsidRDefault="00FE3791" w:rsidP="00FE3791">
      <w:pPr>
        <w:pStyle w:val="Prrafodelista"/>
        <w:numPr>
          <w:ilvl w:val="0"/>
          <w:numId w:val="13"/>
        </w:numPr>
        <w:spacing w:after="120" w:line="240" w:lineRule="auto"/>
        <w:jc w:val="both"/>
        <w:rPr>
          <w:rFonts w:eastAsia="Times New Roman" w:cstheme="minorHAnsi"/>
          <w:b/>
          <w:lang w:eastAsia="es-ES"/>
        </w:rPr>
      </w:pPr>
      <w:r w:rsidRPr="00FE3791">
        <w:rPr>
          <w:rFonts w:cstheme="minorHAnsi"/>
          <w:shd w:val="clear" w:color="auto" w:fill="FFFFFF"/>
        </w:rPr>
        <w:t>Rocío Rodríguez Sánchez</w:t>
      </w:r>
    </w:p>
    <w:p w14:paraId="76EE0444" w14:textId="0AE95898" w:rsidR="00FE3791" w:rsidRPr="00FE3791" w:rsidRDefault="00FE3791" w:rsidP="00FE3791">
      <w:pPr>
        <w:pStyle w:val="Prrafodelista"/>
        <w:numPr>
          <w:ilvl w:val="0"/>
          <w:numId w:val="13"/>
        </w:numPr>
        <w:spacing w:after="120" w:line="240" w:lineRule="auto"/>
        <w:jc w:val="both"/>
        <w:rPr>
          <w:rFonts w:eastAsia="Times New Roman" w:cstheme="minorHAnsi"/>
          <w:b/>
          <w:lang w:eastAsia="es-ES"/>
        </w:rPr>
      </w:pPr>
      <w:r w:rsidRPr="00FE3791">
        <w:rPr>
          <w:rFonts w:cstheme="minorHAnsi"/>
          <w:shd w:val="clear" w:color="auto" w:fill="FFFFFF"/>
        </w:rPr>
        <w:t>Rosa María Ruíz Liñán.</w:t>
      </w:r>
    </w:p>
    <w:p w14:paraId="34F88919" w14:textId="3DB061AB" w:rsidR="00FE3791" w:rsidRDefault="00FE3791" w:rsidP="00FE3791">
      <w:pPr>
        <w:pStyle w:val="Prrafodelista"/>
        <w:spacing w:after="120" w:line="240" w:lineRule="auto"/>
        <w:jc w:val="both"/>
        <w:rPr>
          <w:rFonts w:eastAsia="Times New Roman" w:cstheme="minorHAnsi"/>
          <w:b/>
          <w:lang w:eastAsia="es-ES"/>
        </w:rPr>
      </w:pPr>
    </w:p>
    <w:p w14:paraId="329FB1F1" w14:textId="77777777" w:rsidR="00FE3791" w:rsidRPr="00FE3791" w:rsidRDefault="00FE3791" w:rsidP="00FE3791">
      <w:pPr>
        <w:pStyle w:val="Prrafodelista"/>
        <w:spacing w:after="120" w:line="240" w:lineRule="auto"/>
        <w:jc w:val="both"/>
        <w:rPr>
          <w:rFonts w:eastAsia="Times New Roman" w:cstheme="minorHAnsi"/>
          <w:b/>
          <w:lang w:eastAsia="es-ES"/>
        </w:rPr>
      </w:pPr>
    </w:p>
    <w:p w14:paraId="5E2441FC" w14:textId="19090AA0" w:rsidR="00FE3791" w:rsidRPr="00FE3791" w:rsidRDefault="00FE3791" w:rsidP="00FE3791">
      <w:pPr>
        <w:shd w:val="clear" w:color="auto" w:fill="DEEAF6" w:themeFill="accent5" w:themeFillTint="33"/>
        <w:spacing w:after="120" w:line="240" w:lineRule="auto"/>
        <w:jc w:val="both"/>
        <w:rPr>
          <w:rFonts w:cstheme="minorHAnsi"/>
          <w:b/>
          <w:bCs/>
        </w:rPr>
      </w:pPr>
      <w:r w:rsidRPr="00FE3791">
        <w:rPr>
          <w:rFonts w:cstheme="minorHAnsi"/>
          <w:b/>
          <w:bCs/>
        </w:rPr>
        <w:t>Título: Diario de un Becario</w:t>
      </w:r>
    </w:p>
    <w:p w14:paraId="40B1DC2F" w14:textId="3199C8CA"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0258CA2C" w14:textId="1060A919" w:rsidR="00FE3791" w:rsidRPr="00FE3791" w:rsidRDefault="00FE3791" w:rsidP="00FE3791">
      <w:pPr>
        <w:pStyle w:val="Prrafodelista"/>
        <w:numPr>
          <w:ilvl w:val="0"/>
          <w:numId w:val="13"/>
        </w:numPr>
        <w:spacing w:after="120" w:line="240" w:lineRule="auto"/>
        <w:rPr>
          <w:rFonts w:eastAsia="Times New Roman" w:cstheme="minorHAnsi"/>
          <w:lang w:eastAsia="es-ES"/>
        </w:rPr>
      </w:pPr>
      <w:r w:rsidRPr="00FE3791">
        <w:rPr>
          <w:rFonts w:eastAsia="Times New Roman" w:cstheme="minorHAnsi"/>
          <w:lang w:eastAsia="es-ES"/>
        </w:rPr>
        <w:t xml:space="preserve">Caterina </w:t>
      </w:r>
      <w:proofErr w:type="spellStart"/>
      <w:r w:rsidRPr="00FE3791">
        <w:rPr>
          <w:rFonts w:eastAsia="Times New Roman" w:cstheme="minorHAnsi"/>
          <w:lang w:eastAsia="es-ES"/>
        </w:rPr>
        <w:t>Filareti</w:t>
      </w:r>
      <w:proofErr w:type="spellEnd"/>
    </w:p>
    <w:p w14:paraId="6BA21C71" w14:textId="63CEB66A" w:rsidR="00FE3791" w:rsidRPr="00FE3791" w:rsidRDefault="00FE3791" w:rsidP="00FE3791">
      <w:pPr>
        <w:shd w:val="clear" w:color="auto" w:fill="FFFFFF"/>
        <w:spacing w:after="120" w:line="240" w:lineRule="auto"/>
        <w:rPr>
          <w:rFonts w:eastAsia="Times New Roman" w:cstheme="minorHAnsi"/>
          <w:b/>
          <w:color w:val="000000"/>
          <w:lang w:eastAsia="es-ES"/>
        </w:rPr>
      </w:pPr>
      <w:r w:rsidRPr="00FE3791">
        <w:rPr>
          <w:rFonts w:eastAsia="Times New Roman" w:cstheme="minorHAnsi"/>
          <w:b/>
          <w:color w:val="000000"/>
          <w:lang w:eastAsia="es-ES"/>
        </w:rPr>
        <w:t>Resumen</w:t>
      </w:r>
    </w:p>
    <w:p w14:paraId="452A04ED" w14:textId="77777777" w:rsidR="00FE3791" w:rsidRPr="00FE3791" w:rsidRDefault="00FE3791" w:rsidP="00FE3791">
      <w:pPr>
        <w:spacing w:after="120" w:line="240" w:lineRule="auto"/>
        <w:jc w:val="both"/>
        <w:rPr>
          <w:rFonts w:cstheme="minorHAnsi"/>
        </w:rPr>
      </w:pPr>
      <w:r w:rsidRPr="00FE3791">
        <w:rPr>
          <w:rFonts w:cstheme="minorHAnsi"/>
        </w:rPr>
        <w:t>El periodo de prácticas en la profesión de Trabajador Social representa una vía de aprendizaje basada en la experiencia que introduce al estudiante en el rol profesional, útil para vincular teoría y práctica dentro de una práctica reflexiva alimentada por el uso de estrategias y herramientas apropiadas. El cuaderno de bitácora es una herramienta útil que el estudiante puede utilizar para facilitar la expresión, la reflexión y la elaboración de la experiencia de prácticas. Escribir el cuaderno de prácticas es una oportunidad para estimular algunas reflexiones sobre la narración de la propia experiencia y la escucha de la de los demás.</w:t>
      </w:r>
    </w:p>
    <w:p w14:paraId="780BC4E5" w14:textId="77777777" w:rsidR="00FE3791" w:rsidRPr="00FE3791" w:rsidRDefault="00FE3791" w:rsidP="00FE3791">
      <w:pPr>
        <w:spacing w:after="120" w:line="240" w:lineRule="auto"/>
        <w:jc w:val="both"/>
        <w:rPr>
          <w:rFonts w:cstheme="minorHAnsi"/>
        </w:rPr>
      </w:pPr>
      <w:r w:rsidRPr="00FE3791">
        <w:rPr>
          <w:rFonts w:cstheme="minorHAnsi"/>
          <w:b/>
          <w:bCs/>
        </w:rPr>
        <w:t xml:space="preserve">Objetivo. </w:t>
      </w:r>
      <w:r w:rsidRPr="00FE3791">
        <w:rPr>
          <w:rFonts w:cstheme="minorHAnsi"/>
        </w:rPr>
        <w:t>El objetivo era proporcionar a los estudiantes una herramienta para explorar su propia subjetividad con el fin de utilizarla dentro de la profesión a partir de la experiencia práctica de las prácticas. En concreto, se trataba de identificar, a través de la redacción y posterior análisis del Cuaderno de Bitácora, las dimensiones latentes y semióticas que guían la experiencia práctica de prácticas de los estudiantes.</w:t>
      </w:r>
    </w:p>
    <w:p w14:paraId="768D8C5C" w14:textId="77777777" w:rsidR="00FE3791" w:rsidRPr="00FE3791" w:rsidRDefault="00FE3791" w:rsidP="00FE3791">
      <w:pPr>
        <w:spacing w:after="120" w:line="240" w:lineRule="auto"/>
        <w:jc w:val="both"/>
        <w:rPr>
          <w:rFonts w:cstheme="minorHAnsi"/>
        </w:rPr>
      </w:pPr>
      <w:r w:rsidRPr="00FE3791">
        <w:rPr>
          <w:rFonts w:cstheme="minorHAnsi"/>
          <w:b/>
          <w:bCs/>
        </w:rPr>
        <w:t xml:space="preserve">Propósito. </w:t>
      </w:r>
      <w:r w:rsidRPr="00FE3791">
        <w:rPr>
          <w:rFonts w:cstheme="minorHAnsi"/>
        </w:rPr>
        <w:t>La propuesta pretende poner de manifiesto el punto de vista y las reflexiones del estudiante en prácticas sobre la experiencia práctica de prácticas mediante el uso de un diario a través del cual se documenta la experiencia para posteriormente ser susceptible de un análisis cualitativo que permita identificar los elementos de calidad y criticidad experimentados durante las prácticas.</w:t>
      </w:r>
    </w:p>
    <w:p w14:paraId="2F4E9956" w14:textId="77777777" w:rsidR="00FE3791" w:rsidRPr="00FE3791" w:rsidRDefault="00FE3791" w:rsidP="00FE3791">
      <w:pPr>
        <w:spacing w:after="120" w:line="240" w:lineRule="auto"/>
        <w:jc w:val="both"/>
        <w:rPr>
          <w:rFonts w:cstheme="minorHAnsi"/>
        </w:rPr>
      </w:pPr>
      <w:r w:rsidRPr="00FE3791">
        <w:rPr>
          <w:rFonts w:cstheme="minorHAnsi"/>
          <w:b/>
          <w:bCs/>
        </w:rPr>
        <w:t xml:space="preserve">Materiales y métodos. </w:t>
      </w:r>
      <w:r w:rsidRPr="00FE3791">
        <w:rPr>
          <w:rFonts w:cstheme="minorHAnsi"/>
        </w:rPr>
        <w:t>Se creó el Blog "Diario de un estudiante en prácticas", donde los estudiantes, que realizaban prácticas en organizaciones y servicios, compartían su propia experiencia y leían la de otros. La ayuda de instrumentos tecnológicos y el uso de plataformas multimedia permitieron construir espacios compartidos útiles para facilitar la expresión, la toma de conciencia, la reflexión, la profundización y la elaboración de la experiencia de aprendizaje.</w:t>
      </w:r>
    </w:p>
    <w:p w14:paraId="755D5214" w14:textId="77777777" w:rsidR="00FE3791" w:rsidRPr="00FE3791" w:rsidRDefault="00FE3791" w:rsidP="00FE3791">
      <w:pPr>
        <w:spacing w:after="120" w:line="240" w:lineRule="auto"/>
        <w:jc w:val="both"/>
        <w:rPr>
          <w:rFonts w:cstheme="minorHAnsi"/>
        </w:rPr>
      </w:pPr>
      <w:r w:rsidRPr="00FE3791">
        <w:rPr>
          <w:rFonts w:cstheme="minorHAnsi"/>
          <w:b/>
          <w:bCs/>
        </w:rPr>
        <w:t>Resultados.</w:t>
      </w:r>
      <w:r w:rsidRPr="00FE3791">
        <w:rPr>
          <w:rFonts w:cstheme="minorHAnsi"/>
        </w:rPr>
        <w:t xml:space="preserve"> Se registraron aproximadamente 195 estudiantes y se publicaron unos 925 diarios. Del análisis de los diarios emergieron las siguientes dimensiones de significado en los diarios: dimensión emocional, dimensión relacional, dimensión formativa profesional/personal.</w:t>
      </w:r>
    </w:p>
    <w:p w14:paraId="1822C14E" w14:textId="77777777" w:rsidR="00FE3791" w:rsidRPr="00FE3791" w:rsidRDefault="00FE3791" w:rsidP="00FE3791">
      <w:pPr>
        <w:spacing w:after="120" w:line="240" w:lineRule="auto"/>
        <w:jc w:val="both"/>
        <w:rPr>
          <w:rFonts w:cstheme="minorHAnsi"/>
        </w:rPr>
      </w:pPr>
      <w:r w:rsidRPr="00FE3791">
        <w:rPr>
          <w:rFonts w:cstheme="minorHAnsi"/>
          <w:b/>
          <w:bCs/>
        </w:rPr>
        <w:lastRenderedPageBreak/>
        <w:t>Conclusiones.</w:t>
      </w:r>
      <w:r w:rsidRPr="00FE3791">
        <w:rPr>
          <w:rFonts w:cstheme="minorHAnsi"/>
        </w:rPr>
        <w:t xml:space="preserve"> El diario resultó ser una herramienta útil para recoger las reflexiones de los estudiantes sobre la experiencia abordada y, por tanto, puede utilizarse para analizar el campo semiótico en el que los estudiantes dan relevancia a determinados aspectos de su formación. Los resultados podrían ser utilizados por profesionales del trabajo social y formadores como indicadores del paisaje semiótico que orienta al alumno en su experiencia formativa.</w:t>
      </w:r>
    </w:p>
    <w:p w14:paraId="31B8D605" w14:textId="77777777" w:rsidR="00FE3791" w:rsidRPr="00FE3791" w:rsidRDefault="00FE3791" w:rsidP="00FE3791">
      <w:pPr>
        <w:shd w:val="clear" w:color="auto" w:fill="FFFFFF"/>
        <w:spacing w:after="120" w:line="240" w:lineRule="auto"/>
        <w:jc w:val="both"/>
        <w:rPr>
          <w:rFonts w:cstheme="minorHAnsi"/>
        </w:rPr>
      </w:pPr>
    </w:p>
    <w:p w14:paraId="7D67E375" w14:textId="77777777" w:rsidR="00E81020" w:rsidRPr="00FE3791" w:rsidRDefault="00E81020" w:rsidP="00FE3791">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FE3791">
        <w:rPr>
          <w:rFonts w:cstheme="minorHAnsi"/>
          <w:b/>
        </w:rPr>
        <w:t>EJE 5. ALUMNAS Y ALUMNOS EN TRABAJO SOCIAL.</w:t>
      </w:r>
    </w:p>
    <w:p w14:paraId="158DF43F" w14:textId="77777777" w:rsidR="00E81020" w:rsidRPr="00FE3791" w:rsidRDefault="00E81020" w:rsidP="00FE3791">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FE3791">
        <w:rPr>
          <w:rFonts w:cstheme="minorHAnsi"/>
          <w:b/>
        </w:rPr>
        <w:t>Aportaciones del alumnado a la investigación y acción en Trabajo Social</w:t>
      </w:r>
    </w:p>
    <w:p w14:paraId="0868FB15" w14:textId="11592FA3" w:rsidR="005B1BEE" w:rsidRPr="00FE3791" w:rsidRDefault="005B1BEE" w:rsidP="00FE3791">
      <w:pPr>
        <w:pStyle w:val="v1elementtoproof"/>
        <w:shd w:val="clear" w:color="auto" w:fill="FFFFFF"/>
        <w:spacing w:before="0" w:beforeAutospacing="0" w:after="120" w:afterAutospacing="0"/>
        <w:jc w:val="both"/>
        <w:rPr>
          <w:rFonts w:asciiTheme="minorHAnsi" w:hAnsiTheme="minorHAnsi" w:cstheme="minorHAnsi"/>
          <w:b/>
          <w:bCs/>
          <w:sz w:val="22"/>
          <w:szCs w:val="22"/>
        </w:rPr>
      </w:pPr>
    </w:p>
    <w:p w14:paraId="6118A16D" w14:textId="77777777" w:rsidR="00FE3791" w:rsidRPr="00FE3791" w:rsidRDefault="00FE3791" w:rsidP="00FE3791">
      <w:pPr>
        <w:shd w:val="clear" w:color="auto" w:fill="DEEAF6" w:themeFill="accent5" w:themeFillTint="33"/>
        <w:spacing w:after="120" w:line="240" w:lineRule="auto"/>
        <w:jc w:val="both"/>
        <w:rPr>
          <w:rFonts w:cstheme="minorHAnsi"/>
          <w:b/>
        </w:rPr>
      </w:pPr>
      <w:r w:rsidRPr="00FE3791">
        <w:rPr>
          <w:rFonts w:cstheme="minorHAnsi"/>
          <w:b/>
          <w:kern w:val="2"/>
          <w14:ligatures w14:val="standardContextual"/>
        </w:rPr>
        <w:t xml:space="preserve">Título: </w:t>
      </w:r>
      <w:r w:rsidRPr="00FE3791">
        <w:rPr>
          <w:rFonts w:cstheme="minorHAnsi"/>
          <w:b/>
        </w:rPr>
        <w:t>Clínica de Trabajo Social.</w:t>
      </w:r>
    </w:p>
    <w:p w14:paraId="79175AFF" w14:textId="4393DD0B"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698F7A6F" w14:textId="77777777" w:rsidR="00FE3791" w:rsidRDefault="00FE3791" w:rsidP="00FE3791">
      <w:pPr>
        <w:pStyle w:val="v1elementtoproof"/>
        <w:numPr>
          <w:ilvl w:val="0"/>
          <w:numId w:val="13"/>
        </w:numPr>
        <w:shd w:val="clear" w:color="auto" w:fill="FFFFFF"/>
        <w:spacing w:before="0" w:beforeAutospacing="0" w:after="0" w:afterAutospacing="0"/>
        <w:ind w:left="714" w:hanging="357"/>
        <w:rPr>
          <w:rFonts w:asciiTheme="minorHAnsi" w:hAnsiTheme="minorHAnsi" w:cstheme="minorHAnsi"/>
          <w:sz w:val="22"/>
          <w:szCs w:val="22"/>
        </w:rPr>
      </w:pPr>
      <w:r w:rsidRPr="00FE3791">
        <w:rPr>
          <w:rFonts w:asciiTheme="minorHAnsi" w:hAnsiTheme="minorHAnsi" w:cstheme="minorHAnsi"/>
          <w:sz w:val="22"/>
          <w:szCs w:val="22"/>
        </w:rPr>
        <w:t xml:space="preserve">Sara Hevia López </w:t>
      </w:r>
    </w:p>
    <w:p w14:paraId="1D84E98D" w14:textId="77777777" w:rsidR="00FE3791" w:rsidRDefault="00FE3791" w:rsidP="00FE3791">
      <w:pPr>
        <w:pStyle w:val="v1elementtoproof"/>
        <w:numPr>
          <w:ilvl w:val="0"/>
          <w:numId w:val="13"/>
        </w:numPr>
        <w:shd w:val="clear" w:color="auto" w:fill="FFFFFF"/>
        <w:spacing w:before="0" w:beforeAutospacing="0" w:after="0" w:afterAutospacing="0"/>
        <w:ind w:left="714" w:hanging="357"/>
        <w:rPr>
          <w:rFonts w:asciiTheme="minorHAnsi" w:hAnsiTheme="minorHAnsi" w:cstheme="minorHAnsi"/>
          <w:sz w:val="22"/>
          <w:szCs w:val="22"/>
        </w:rPr>
      </w:pPr>
      <w:r w:rsidRPr="00FE3791">
        <w:rPr>
          <w:rFonts w:asciiTheme="minorHAnsi" w:hAnsiTheme="minorHAnsi" w:cstheme="minorHAnsi"/>
          <w:sz w:val="22"/>
          <w:szCs w:val="22"/>
        </w:rPr>
        <w:t>Veró</w:t>
      </w:r>
      <w:r>
        <w:rPr>
          <w:rFonts w:asciiTheme="minorHAnsi" w:hAnsiTheme="minorHAnsi" w:cstheme="minorHAnsi"/>
          <w:sz w:val="22"/>
          <w:szCs w:val="22"/>
        </w:rPr>
        <w:t>n</w:t>
      </w:r>
      <w:r w:rsidRPr="00FE3791">
        <w:rPr>
          <w:rFonts w:asciiTheme="minorHAnsi" w:hAnsiTheme="minorHAnsi" w:cstheme="minorHAnsi"/>
          <w:sz w:val="22"/>
          <w:szCs w:val="22"/>
        </w:rPr>
        <w:t xml:space="preserve">ica Martínez Tomé </w:t>
      </w:r>
    </w:p>
    <w:p w14:paraId="0EECD526" w14:textId="77777777" w:rsidR="00FE3791" w:rsidRDefault="00FE3791" w:rsidP="00FE3791">
      <w:pPr>
        <w:pStyle w:val="v1elementtoproof"/>
        <w:numPr>
          <w:ilvl w:val="0"/>
          <w:numId w:val="13"/>
        </w:numPr>
        <w:shd w:val="clear" w:color="auto" w:fill="FFFFFF"/>
        <w:spacing w:before="0" w:beforeAutospacing="0" w:after="0" w:afterAutospacing="0"/>
        <w:ind w:left="714" w:hanging="357"/>
        <w:rPr>
          <w:rFonts w:asciiTheme="minorHAnsi" w:hAnsiTheme="minorHAnsi" w:cstheme="minorHAnsi"/>
          <w:sz w:val="22"/>
          <w:szCs w:val="22"/>
        </w:rPr>
      </w:pPr>
      <w:r w:rsidRPr="00FE3791">
        <w:rPr>
          <w:rFonts w:asciiTheme="minorHAnsi" w:hAnsiTheme="minorHAnsi" w:cstheme="minorHAnsi"/>
          <w:sz w:val="22"/>
          <w:szCs w:val="22"/>
        </w:rPr>
        <w:t xml:space="preserve">Guillermo Rodríguez Justo </w:t>
      </w:r>
    </w:p>
    <w:p w14:paraId="607CDC18" w14:textId="2985E7DE" w:rsidR="00FE3791" w:rsidRDefault="00FE3791" w:rsidP="00FE3791">
      <w:pPr>
        <w:pStyle w:val="v1elementtoproof"/>
        <w:numPr>
          <w:ilvl w:val="0"/>
          <w:numId w:val="13"/>
        </w:numPr>
        <w:shd w:val="clear" w:color="auto" w:fill="FFFFFF"/>
        <w:spacing w:before="0" w:beforeAutospacing="0" w:after="0" w:afterAutospacing="0"/>
        <w:ind w:left="714" w:hanging="357"/>
        <w:rPr>
          <w:rFonts w:asciiTheme="minorHAnsi" w:hAnsiTheme="minorHAnsi" w:cstheme="minorHAnsi"/>
          <w:sz w:val="22"/>
          <w:szCs w:val="22"/>
        </w:rPr>
      </w:pPr>
      <w:r w:rsidRPr="00FE3791">
        <w:rPr>
          <w:rFonts w:asciiTheme="minorHAnsi" w:hAnsiTheme="minorHAnsi" w:cstheme="minorHAnsi"/>
          <w:sz w:val="22"/>
          <w:szCs w:val="22"/>
        </w:rPr>
        <w:t>María Velasco Arias</w:t>
      </w:r>
    </w:p>
    <w:p w14:paraId="31146022" w14:textId="43E393CC" w:rsidR="00FE3791" w:rsidRPr="00FE3791" w:rsidRDefault="00671D91" w:rsidP="00671D91">
      <w:pPr>
        <w:pStyle w:val="v1elementtoproof"/>
        <w:shd w:val="clear" w:color="auto" w:fill="FFFFFF"/>
        <w:spacing w:before="0" w:beforeAutospacing="0" w:after="0" w:afterAutospacing="0"/>
        <w:ind w:left="357"/>
        <w:rPr>
          <w:rFonts w:asciiTheme="minorHAnsi" w:hAnsiTheme="minorHAnsi" w:cstheme="minorHAnsi"/>
          <w:sz w:val="22"/>
          <w:szCs w:val="22"/>
        </w:rPr>
      </w:pPr>
      <w:r>
        <w:rPr>
          <w:rFonts w:asciiTheme="minorHAnsi" w:hAnsiTheme="minorHAnsi" w:cstheme="minorHAnsi"/>
          <w:sz w:val="22"/>
          <w:szCs w:val="22"/>
        </w:rPr>
        <w:t>Universidad de Oviedo</w:t>
      </w:r>
    </w:p>
    <w:p w14:paraId="75B8C2E7" w14:textId="4FF8C188"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FE3791">
        <w:rPr>
          <w:rFonts w:asciiTheme="minorHAnsi" w:hAnsiTheme="minorHAnsi" w:cstheme="minorHAnsi"/>
          <w:b/>
          <w:sz w:val="22"/>
          <w:szCs w:val="22"/>
        </w:rPr>
        <w:t>Resumen</w:t>
      </w:r>
    </w:p>
    <w:p w14:paraId="1E9260CE" w14:textId="18DD80F0"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671D91">
        <w:rPr>
          <w:rFonts w:asciiTheme="minorHAnsi" w:hAnsiTheme="minorHAnsi" w:cstheme="minorHAnsi"/>
          <w:b/>
          <w:sz w:val="22"/>
          <w:szCs w:val="22"/>
        </w:rPr>
        <w:t>Introducción</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La presente comunicación tiene el objetivo de compartir una experiencia impulsada por el alumnado del Grado de Trabajo Social de la Universidad de Oviedo, denominada Clínica de Trabajo Social (en adelante, CTS). A tal efecto, abordaremos parte del proceso, aspectos metodológicos y presentaremos algunos resultados de una iniciativa que lleva desarrollándose varios cursos. </w:t>
      </w:r>
    </w:p>
    <w:p w14:paraId="23CAD436" w14:textId="7DEF1616"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t>Metodología/desarrollo</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El principal objetivo que persigue este proyecto es la creación de enlaces de participación entre la institución académica y el resto de la sociedad, involucrando a diferentes agentes sociales en experiencias desde una perspectiva de intervención comunitaria. 1 </w:t>
      </w:r>
      <w:proofErr w:type="gramStart"/>
      <w:r w:rsidRPr="00FE3791">
        <w:rPr>
          <w:rFonts w:asciiTheme="minorHAnsi" w:hAnsiTheme="minorHAnsi" w:cstheme="minorHAnsi"/>
          <w:sz w:val="22"/>
          <w:szCs w:val="22"/>
        </w:rPr>
        <w:t>Las</w:t>
      </w:r>
      <w:proofErr w:type="gramEnd"/>
      <w:r w:rsidRPr="00FE3791">
        <w:rPr>
          <w:rFonts w:asciiTheme="minorHAnsi" w:hAnsiTheme="minorHAnsi" w:cstheme="minorHAnsi"/>
          <w:sz w:val="22"/>
          <w:szCs w:val="22"/>
        </w:rPr>
        <w:t xml:space="preserve"> actividades desarrolladas se orientan hacia la atención de necesidades y demandas formuladas por la ciudadanía y/o por entidades del Tercer Sector, sirviendo como primera toma de contacto del alumnado participante con escenarios reales de actuación. Las estrategias metodológicas que hemos adoptado como referencia son la Investigación-Acción-Participativa y el Aprendizaje-Servicio (en adelante, IAP y APS), puesto que ambas otorgan una dimensión comunitaria a las experiencias que sus participantes desarrollan de forma cooperativa bajo supervisión docente. Una vez planteada al Decanato y mientras buscábamos su encaje institucional, organizamos diferentes actividades, como las visitas a un centro residencial o a un centro penitenciario, entre otras experiencias en las que se vio involucrado el alumnado. </w:t>
      </w:r>
    </w:p>
    <w:p w14:paraId="0DD7CE22" w14:textId="1E9E2589"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t>Resultados</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Tras su constitución formal hemos participado de forma continua en proyectos de colaboración, como “Activando ODS” formando parte del grupo motor; hemos repetido la experiencia de realizar un evento visual en la facultad con motivo del 25N; hemos avanzado con la gestión del envío de libros a la casa de la Juventud </w:t>
      </w:r>
      <w:proofErr w:type="spellStart"/>
      <w:r w:rsidRPr="00FE3791">
        <w:rPr>
          <w:rFonts w:asciiTheme="minorHAnsi" w:hAnsiTheme="minorHAnsi" w:cstheme="minorHAnsi"/>
          <w:sz w:val="22"/>
          <w:szCs w:val="22"/>
        </w:rPr>
        <w:t>Mashi</w:t>
      </w:r>
      <w:proofErr w:type="spellEnd"/>
      <w:r w:rsidRPr="00FE3791">
        <w:rPr>
          <w:rFonts w:asciiTheme="minorHAnsi" w:hAnsiTheme="minorHAnsi" w:cstheme="minorHAnsi"/>
          <w:sz w:val="22"/>
          <w:szCs w:val="22"/>
        </w:rPr>
        <w:t xml:space="preserve"> Pierre de Ecuador; hemos mantenido contacto con el grupo de trabajadoras de la cafetería de la Laboral, con quienes compartimos espacio organizando reiterados eventos para dar a conocer su situación laboral tras el cese del servicio. Como novedad, también podríamos destacar la participación de la CTS en la convocatoria de proyectos de Innovación Docente tras haber sido certificada como prácticas de innovación docente el curso pasado. Más allá de lo mencionado, se han planteado nuevas colaboraciones con diferentes entidades del Tercer Sector que actualmente se encuentran en proceso de ejecución y donde tendría cabida la incorporación de nuevas participaciones del alumnado, lo que resulta imprescindible para poder cubrir las tareas de gestión necesarias para el desarrollo de las actividades. 2 4. </w:t>
      </w:r>
    </w:p>
    <w:p w14:paraId="059E4ED6" w14:textId="07557471" w:rsidR="00FE3791" w:rsidRPr="00671D91" w:rsidRDefault="00FE3791" w:rsidP="00671D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lastRenderedPageBreak/>
        <w:t>Discusión/conclusiones</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La actividad de la CTS se orienta en un sentido que va de lo individual o particular a lo general o colectivo, inscribiéndose en las metodologías participativas de IAP y APS, confluyentes con el Trabajo Social Comunitario. Esta combinación metodológica se ha mostrado viable para la convergencia de la teoría y la práctica de nuestra disciplina, especialmente promover la vinculación de la facultad con el conjunto de agentes sociales. Por último, conviene destacar el carácter de actualidad de esta iniciativa, que responde a una preocupación creciente ante los fenómenos de fractura o disgregación social actuales, reivindicando la necesidad de orientar la educación hacia mayores cotas de cohesión y justicia social.</w:t>
      </w:r>
    </w:p>
    <w:p w14:paraId="25432543"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b/>
          <w:sz w:val="22"/>
          <w:szCs w:val="22"/>
        </w:rPr>
        <w:t>Palabras claves:</w:t>
      </w:r>
      <w:r w:rsidRPr="00FE3791">
        <w:rPr>
          <w:rFonts w:asciiTheme="minorHAnsi" w:hAnsiTheme="minorHAnsi" w:cstheme="minorHAnsi"/>
          <w:sz w:val="22"/>
          <w:szCs w:val="22"/>
        </w:rPr>
        <w:t xml:space="preserve"> Clínica de Trabajo Social; Aprendizaje-Servicio; Investigación-Acción-Participativa; innovación docente; intervención comunitaria; metodologías participativas; Trabajo Social; universidad. </w:t>
      </w:r>
    </w:p>
    <w:p w14:paraId="1BF933B0" w14:textId="77777777" w:rsidR="00FE3791" w:rsidRPr="00FE3791" w:rsidRDefault="00FE3791" w:rsidP="00FE3791">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76C88B44" w14:textId="77777777" w:rsidR="00FE3791" w:rsidRPr="00FE3791" w:rsidRDefault="00FE3791" w:rsidP="00671D91">
      <w:pPr>
        <w:shd w:val="clear" w:color="auto" w:fill="DEEAF6" w:themeFill="accent5" w:themeFillTint="33"/>
        <w:spacing w:after="120" w:line="240" w:lineRule="auto"/>
        <w:jc w:val="both"/>
        <w:rPr>
          <w:rFonts w:cstheme="minorHAnsi"/>
          <w:b/>
        </w:rPr>
      </w:pPr>
      <w:r w:rsidRPr="00FE3791">
        <w:rPr>
          <w:rFonts w:cstheme="minorHAnsi"/>
          <w:b/>
          <w:kern w:val="2"/>
          <w14:ligatures w14:val="standardContextual"/>
        </w:rPr>
        <w:t xml:space="preserve">Título: </w:t>
      </w:r>
      <w:r w:rsidRPr="00FE3791">
        <w:rPr>
          <w:rFonts w:cstheme="minorHAnsi"/>
          <w:b/>
        </w:rPr>
        <w:t>¿Cuánto sabes de la violencia que se ejerce contra las mujeres? Una experiencia de concienciación.</w:t>
      </w:r>
    </w:p>
    <w:p w14:paraId="3C6FB1BF" w14:textId="45317CF5"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12B54407" w14:textId="77777777" w:rsid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Lorena </w:t>
      </w:r>
      <w:proofErr w:type="spellStart"/>
      <w:r w:rsidRPr="00FE3791">
        <w:rPr>
          <w:rFonts w:asciiTheme="minorHAnsi" w:hAnsiTheme="minorHAnsi" w:cstheme="minorHAnsi"/>
          <w:sz w:val="22"/>
          <w:szCs w:val="22"/>
        </w:rPr>
        <w:t>Briega</w:t>
      </w:r>
      <w:proofErr w:type="spellEnd"/>
      <w:r w:rsidRPr="00FE3791">
        <w:rPr>
          <w:rFonts w:asciiTheme="minorHAnsi" w:hAnsiTheme="minorHAnsi" w:cstheme="minorHAnsi"/>
          <w:sz w:val="22"/>
          <w:szCs w:val="22"/>
        </w:rPr>
        <w:t xml:space="preserve"> Cerrón</w:t>
      </w:r>
    </w:p>
    <w:p w14:paraId="23A1AC96" w14:textId="77777777" w:rsid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Elsa Manuel </w:t>
      </w:r>
      <w:proofErr w:type="spellStart"/>
      <w:r w:rsidRPr="00FE3791">
        <w:rPr>
          <w:rFonts w:asciiTheme="minorHAnsi" w:hAnsiTheme="minorHAnsi" w:cstheme="minorHAnsi"/>
          <w:sz w:val="22"/>
          <w:szCs w:val="22"/>
        </w:rPr>
        <w:t>Muñumer</w:t>
      </w:r>
      <w:proofErr w:type="spellEnd"/>
    </w:p>
    <w:p w14:paraId="1A6E6EA8" w14:textId="77777777" w:rsid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FE3791">
        <w:rPr>
          <w:rFonts w:asciiTheme="minorHAnsi" w:hAnsiTheme="minorHAnsi" w:cstheme="minorHAnsi"/>
          <w:sz w:val="22"/>
          <w:szCs w:val="22"/>
        </w:rPr>
        <w:t>Sergio Pérez Hernández</w:t>
      </w:r>
    </w:p>
    <w:p w14:paraId="4DD5DBF7" w14:textId="77777777" w:rsid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671D91">
        <w:rPr>
          <w:rFonts w:asciiTheme="minorHAnsi" w:hAnsiTheme="minorHAnsi" w:cstheme="minorHAnsi"/>
          <w:sz w:val="22"/>
          <w:szCs w:val="22"/>
        </w:rPr>
        <w:t>David Rodríguez Guerra</w:t>
      </w:r>
    </w:p>
    <w:p w14:paraId="29F4D624" w14:textId="77777777" w:rsid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671D91">
        <w:rPr>
          <w:rFonts w:asciiTheme="minorHAnsi" w:hAnsiTheme="minorHAnsi" w:cstheme="minorHAnsi"/>
          <w:sz w:val="22"/>
          <w:szCs w:val="22"/>
        </w:rPr>
        <w:t xml:space="preserve">Silvia Rodríguez </w:t>
      </w:r>
      <w:proofErr w:type="spellStart"/>
      <w:r w:rsidRPr="00671D91">
        <w:rPr>
          <w:rFonts w:asciiTheme="minorHAnsi" w:hAnsiTheme="minorHAnsi" w:cstheme="minorHAnsi"/>
          <w:sz w:val="22"/>
          <w:szCs w:val="22"/>
        </w:rPr>
        <w:t>Rodríguez</w:t>
      </w:r>
      <w:proofErr w:type="spellEnd"/>
      <w:r w:rsidRPr="00671D91">
        <w:rPr>
          <w:rFonts w:asciiTheme="minorHAnsi" w:hAnsiTheme="minorHAnsi" w:cstheme="minorHAnsi"/>
          <w:sz w:val="22"/>
          <w:szCs w:val="22"/>
        </w:rPr>
        <w:t xml:space="preserve"> </w:t>
      </w:r>
    </w:p>
    <w:p w14:paraId="0B847E34" w14:textId="141CA50E" w:rsidR="00FE3791" w:rsidRP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671D91">
        <w:rPr>
          <w:rFonts w:asciiTheme="minorHAnsi" w:hAnsiTheme="minorHAnsi" w:cstheme="minorHAnsi"/>
          <w:sz w:val="22"/>
          <w:szCs w:val="22"/>
        </w:rPr>
        <w:t xml:space="preserve">Jezabel Lucas García </w:t>
      </w:r>
    </w:p>
    <w:p w14:paraId="74EA3D78" w14:textId="77777777" w:rsidR="00FE3791" w:rsidRPr="00FE3791" w:rsidRDefault="00FE3791" w:rsidP="00671D91">
      <w:pPr>
        <w:pStyle w:val="v1elementtoproof"/>
        <w:shd w:val="clear" w:color="auto" w:fill="FFFFFF"/>
        <w:spacing w:before="0" w:beforeAutospacing="0" w:after="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Universidad de Valladolid </w:t>
      </w:r>
    </w:p>
    <w:p w14:paraId="594527B8"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p>
    <w:p w14:paraId="4D1192E3" w14:textId="1B0AECA2"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b/>
          <w:sz w:val="22"/>
          <w:szCs w:val="22"/>
        </w:rPr>
        <w:t>Resumen:</w:t>
      </w:r>
    </w:p>
    <w:p w14:paraId="363CEE86"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Hace 20 años, el 28 de diciembre de 2004, se aprueba en España la Ley Orgánica 1/2004, de Medidas de Protección Integral contra la Violencia de Género. Una ley ambiciosa y a la vanguardia internacional que se promulga gracias a una demanda ciudadana que apoya una reivindicación básica del movimiento feminista. La Ley, que desde entonces se ha utilizado como paradigma en otras zonas del mundo, atendía la problemática personal y social que supone sufrir violencia machista. En la actualidad, dentro del Estado español y desde 2003 fecha en la que se empezaron a contabilizar los asesinatos de mujeres a manos de sus parejas o exparejas se han registrado 1247 asesinatos de mujeres (Observatorio Estatal de Violencia sobre la Mujer). En la Facultad de Educación y Trabajo Social de la Universidad de Valladolid, no queríamos dejar pasar esta coyuntura y nos animamos a desarrollar una iniciativa que ha tenido como finalidad la sensibilización y concienciación en torno a la Violencia que se ejerce contra las mujeres. Hay que tener presente que la sensibilización y concienciación social son funciones claves de la intervención social comunitaria en Trabajo Social (Lillo y Roselló, 2004). Es una función que promueve la implicación de la comunidad, en este caso la comunidad universitaria para poder crear una conciencia crítica de tolerancia cero y prevención. En la Universidad de Valladolid contamos con una Red de Igualdad que ayuda a promover esta función de concienciación en materia de Igualdad de género, así que, aprovechamos las semanas cercanas a la conmemoración de la lucha contra las violencias machistas (25 de noviembre) para organizarnos en diferentes comisiones e implementar una breve encuesta con diferentes grados de dificultad dirigida a todo el alumnado de la Facultad. Esta técnica nos permitía evaluar los conocimientos que poseemos como comunidad universitaria sobre la violencia que se ejerce contra las mujeres. Lo hicimos bajo el marco de un “concurso” en el que se premiaba a partir de material corporativo (camisetas, </w:t>
      </w:r>
      <w:proofErr w:type="spellStart"/>
      <w:r w:rsidRPr="00FE3791">
        <w:rPr>
          <w:rFonts w:asciiTheme="minorHAnsi" w:hAnsiTheme="minorHAnsi" w:cstheme="minorHAnsi"/>
          <w:sz w:val="22"/>
          <w:szCs w:val="22"/>
        </w:rPr>
        <w:t>USBs</w:t>
      </w:r>
      <w:proofErr w:type="spellEnd"/>
      <w:r w:rsidRPr="00FE3791">
        <w:rPr>
          <w:rFonts w:asciiTheme="minorHAnsi" w:hAnsiTheme="minorHAnsi" w:cstheme="minorHAnsi"/>
          <w:sz w:val="22"/>
          <w:szCs w:val="22"/>
        </w:rPr>
        <w:t xml:space="preserve">, pulseras…) las respuestas correctas de las encuestas. Las preguntas estaban relacionadas con la definición de violencia, los tipos de violencia de género existentes, el número de víctimas, recursos sociales existentes… El objetivo general era desarrollar la capacidad crítica en materia de violencia de género partiendo de la hipótesis de partida de que en las titulaciones representadas en la Facultad (Educación Primaria, Educación Infantil, Educación Social y Trabajo Social) el alumnado tiene ya una sensibilización y conocimiento de la realidad social mayor que en otros contextos universitarios. En general, nos encontramos </w:t>
      </w:r>
      <w:r w:rsidRPr="00FE3791">
        <w:rPr>
          <w:rFonts w:asciiTheme="minorHAnsi" w:hAnsiTheme="minorHAnsi" w:cstheme="minorHAnsi"/>
          <w:sz w:val="22"/>
          <w:szCs w:val="22"/>
        </w:rPr>
        <w:lastRenderedPageBreak/>
        <w:t xml:space="preserve">que, aunque la motivación principal que movía al estudiantado a realizar la encuesta eran los regalos que ofrecíamos, “fallar” las preguntas contrariaba a muchas/os de ellas/os y eso generaba un momento de reflexión que permitía resolver dudas y corregir informaciones erróneas de manera participada. En ocasiones también nos encontramos con alumnado que fallaba preguntas planteadas dentro del nivel “de fácil respuesta”. Todo ello nos invita a dar importancia a este tipo de iniciativas de sensibilización social en nuestros centros y a abordar muchas otras en el futuro como un objetivo de la titulación en Trabajo Social. </w:t>
      </w:r>
    </w:p>
    <w:p w14:paraId="7C2EDD0A"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b/>
          <w:sz w:val="22"/>
          <w:szCs w:val="22"/>
        </w:rPr>
        <w:t>Palabras Clave:</w:t>
      </w:r>
      <w:r w:rsidRPr="00FE3791">
        <w:rPr>
          <w:rFonts w:asciiTheme="minorHAnsi" w:hAnsiTheme="minorHAnsi" w:cstheme="minorHAnsi"/>
          <w:sz w:val="22"/>
          <w:szCs w:val="22"/>
        </w:rPr>
        <w:t xml:space="preserve"> Sensibilización Social, Trabajo Social Comunitario, Violencia de Género</w:t>
      </w:r>
    </w:p>
    <w:p w14:paraId="106B2C15"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4259C6D5" w14:textId="77777777" w:rsidR="00FE3791" w:rsidRPr="00FE3791" w:rsidRDefault="00FE3791" w:rsidP="00671D91">
      <w:pPr>
        <w:shd w:val="clear" w:color="auto" w:fill="DEEAF6" w:themeFill="accent5" w:themeFillTint="33"/>
        <w:spacing w:after="120" w:line="240" w:lineRule="auto"/>
        <w:jc w:val="both"/>
        <w:rPr>
          <w:rFonts w:cstheme="minorHAnsi"/>
          <w:b/>
        </w:rPr>
      </w:pPr>
      <w:r w:rsidRPr="00FE3791">
        <w:rPr>
          <w:rFonts w:cstheme="minorHAnsi"/>
          <w:b/>
          <w:kern w:val="2"/>
          <w14:ligatures w14:val="standardContextual"/>
        </w:rPr>
        <w:t xml:space="preserve">Título: </w:t>
      </w:r>
      <w:r w:rsidRPr="00FE3791">
        <w:rPr>
          <w:rFonts w:cstheme="minorHAnsi"/>
          <w:b/>
        </w:rPr>
        <w:t>La ideación suicida en adolescentes.</w:t>
      </w:r>
    </w:p>
    <w:p w14:paraId="3023C235" w14:textId="38485CE8"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098403F2" w14:textId="77777777" w:rsid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r w:rsidRPr="00FE3791">
        <w:rPr>
          <w:rFonts w:asciiTheme="minorHAnsi" w:hAnsiTheme="minorHAnsi" w:cstheme="minorHAnsi"/>
          <w:sz w:val="22"/>
          <w:szCs w:val="22"/>
        </w:rPr>
        <w:t>Mirella Mejías Ponce</w:t>
      </w:r>
    </w:p>
    <w:p w14:paraId="5C172572" w14:textId="77777777" w:rsid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r w:rsidRPr="00671D91">
        <w:rPr>
          <w:rFonts w:asciiTheme="minorHAnsi" w:hAnsiTheme="minorHAnsi" w:cstheme="minorHAnsi"/>
          <w:sz w:val="22"/>
          <w:szCs w:val="22"/>
        </w:rPr>
        <w:t>Cristina Medina Soria</w:t>
      </w:r>
    </w:p>
    <w:p w14:paraId="580AB979" w14:textId="77777777" w:rsid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r w:rsidRPr="00671D91">
        <w:rPr>
          <w:rFonts w:asciiTheme="minorHAnsi" w:hAnsiTheme="minorHAnsi" w:cstheme="minorHAnsi"/>
          <w:sz w:val="22"/>
          <w:szCs w:val="22"/>
        </w:rPr>
        <w:t>María Morgado Fernández</w:t>
      </w:r>
    </w:p>
    <w:p w14:paraId="6025C1BD" w14:textId="77777777" w:rsid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r w:rsidRPr="00671D91">
        <w:rPr>
          <w:rFonts w:asciiTheme="minorHAnsi" w:hAnsiTheme="minorHAnsi" w:cstheme="minorHAnsi"/>
          <w:sz w:val="22"/>
          <w:szCs w:val="22"/>
        </w:rPr>
        <w:t>Ana Salas Guerrero</w:t>
      </w:r>
    </w:p>
    <w:p w14:paraId="36C2A0E0" w14:textId="3514203E" w:rsidR="00FE3791" w:rsidRP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proofErr w:type="spellStart"/>
      <w:r w:rsidRPr="00671D91">
        <w:rPr>
          <w:rFonts w:asciiTheme="minorHAnsi" w:hAnsiTheme="minorHAnsi" w:cstheme="minorHAnsi"/>
          <w:sz w:val="22"/>
          <w:szCs w:val="22"/>
        </w:rPr>
        <w:t>Nayara</w:t>
      </w:r>
      <w:proofErr w:type="spellEnd"/>
      <w:r w:rsidRPr="00671D91">
        <w:rPr>
          <w:rFonts w:asciiTheme="minorHAnsi" w:hAnsiTheme="minorHAnsi" w:cstheme="minorHAnsi"/>
          <w:sz w:val="22"/>
          <w:szCs w:val="22"/>
        </w:rPr>
        <w:t xml:space="preserve"> Peral Naranjo</w:t>
      </w:r>
    </w:p>
    <w:p w14:paraId="63A2819F" w14:textId="16C0B6B9" w:rsidR="00FE3791" w:rsidRPr="00FE3791" w:rsidRDefault="00671D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Universidad de Málaga</w:t>
      </w:r>
    </w:p>
    <w:p w14:paraId="6C539F34" w14:textId="68B8D428" w:rsidR="00FE3791" w:rsidRPr="00FE3791" w:rsidRDefault="00FE3791" w:rsidP="00FE3791">
      <w:pPr>
        <w:pStyle w:val="v1elementtoproof"/>
        <w:shd w:val="clear" w:color="auto" w:fill="FFFFFF"/>
        <w:tabs>
          <w:tab w:val="left" w:pos="3415"/>
        </w:tabs>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b/>
          <w:sz w:val="22"/>
          <w:szCs w:val="22"/>
        </w:rPr>
        <w:t>Resumen</w:t>
      </w:r>
      <w:r w:rsidRPr="00FE3791">
        <w:rPr>
          <w:rFonts w:asciiTheme="minorHAnsi" w:hAnsiTheme="minorHAnsi" w:cstheme="minorHAnsi"/>
          <w:sz w:val="22"/>
          <w:szCs w:val="22"/>
        </w:rPr>
        <w:tab/>
      </w:r>
    </w:p>
    <w:p w14:paraId="5F0F840D"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Este proyecto está basado en una investigación cuantitativa, abarcando la ideación suicida en adolescentes entre 14 y 19 años. Este tema ha sido seleccionado debido al impacto que ocasiona dicha problemática en nuestra sociedad actual, siendo considerada la tercera causa de muerte a nivel mundial, algo muy común en edades comprendidas entre 15 a 29 años (INE, 2017). Para abordar la investigación se han analizado distintas variables. Se distinguen en variable dependiente, siendo esta la ideación suicida </w:t>
      </w:r>
      <w:proofErr w:type="gramStart"/>
      <w:r w:rsidRPr="00FE3791">
        <w:rPr>
          <w:rFonts w:asciiTheme="minorHAnsi" w:hAnsiTheme="minorHAnsi" w:cstheme="minorHAnsi"/>
          <w:sz w:val="22"/>
          <w:szCs w:val="22"/>
        </w:rPr>
        <w:t>y</w:t>
      </w:r>
      <w:proofErr w:type="gramEnd"/>
      <w:r w:rsidRPr="00FE3791">
        <w:rPr>
          <w:rFonts w:asciiTheme="minorHAnsi" w:hAnsiTheme="minorHAnsi" w:cstheme="minorHAnsi"/>
          <w:sz w:val="22"/>
          <w:szCs w:val="22"/>
        </w:rPr>
        <w:t xml:space="preserve"> por otro lado, las variables independientes que son la adicción a las redes sociales, los trastornos alimenticios, la ansiedad y depresión, la autoestima, la satisfacción familiar, el apoyo por parte de los familiares y amigos. Dos de estas son factores de riesgo, y dos de protección. Metodología y procedimientos: </w:t>
      </w:r>
    </w:p>
    <w:p w14:paraId="7149D1CB"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 xml:space="preserve">Con la finalidad de conocer las distintas realidades de los destinatarios, se ha pasado el cuestionario a un total de 190 adolescentes. 98 de ellos pertenecen a dos institutos, uno de Alhaurín de la Torre (Málaga) y otro de La Línea de la Concepción (Cádiz). Los 92 estudiantes restantes los han realizado vía online. Las escalas que se han empleado para medir las variables serían: - Escala de Riesgo de Adicción-adolescente a las Redes Sociales e Internet (ERA-RSI) - Cuestionario Breve de Conductas Alimentarias de Riesgo (CBCAR), elaborado por </w:t>
      </w:r>
      <w:proofErr w:type="spellStart"/>
      <w:r w:rsidRPr="00FE3791">
        <w:rPr>
          <w:rFonts w:asciiTheme="minorHAnsi" w:hAnsiTheme="minorHAnsi" w:cstheme="minorHAnsi"/>
          <w:sz w:val="22"/>
          <w:szCs w:val="22"/>
        </w:rPr>
        <w:t>Unikel</w:t>
      </w:r>
      <w:proofErr w:type="spellEnd"/>
      <w:r w:rsidRPr="00FE3791">
        <w:rPr>
          <w:rFonts w:asciiTheme="minorHAnsi" w:hAnsiTheme="minorHAnsi" w:cstheme="minorHAnsi"/>
          <w:sz w:val="22"/>
          <w:szCs w:val="22"/>
        </w:rPr>
        <w:t xml:space="preserve">, Bojórquez y Carreño-García - La escala de ansiedad y depresión hospitalaria (HAD, </w:t>
      </w:r>
      <w:proofErr w:type="spellStart"/>
      <w:r w:rsidRPr="00FE3791">
        <w:rPr>
          <w:rFonts w:asciiTheme="minorHAnsi" w:hAnsiTheme="minorHAnsi" w:cstheme="minorHAnsi"/>
          <w:sz w:val="22"/>
          <w:szCs w:val="22"/>
        </w:rPr>
        <w:t>Zigmond</w:t>
      </w:r>
      <w:proofErr w:type="spellEnd"/>
      <w:r w:rsidRPr="00FE3791">
        <w:rPr>
          <w:rFonts w:asciiTheme="minorHAnsi" w:hAnsiTheme="minorHAnsi" w:cstheme="minorHAnsi"/>
          <w:sz w:val="22"/>
          <w:szCs w:val="22"/>
        </w:rPr>
        <w:t xml:space="preserve"> y </w:t>
      </w:r>
      <w:proofErr w:type="spellStart"/>
      <w:r w:rsidRPr="00FE3791">
        <w:rPr>
          <w:rFonts w:asciiTheme="minorHAnsi" w:hAnsiTheme="minorHAnsi" w:cstheme="minorHAnsi"/>
          <w:sz w:val="22"/>
          <w:szCs w:val="22"/>
        </w:rPr>
        <w:t>Snaith</w:t>
      </w:r>
      <w:proofErr w:type="spellEnd"/>
      <w:r w:rsidRPr="00FE3791">
        <w:rPr>
          <w:rFonts w:asciiTheme="minorHAnsi" w:hAnsiTheme="minorHAnsi" w:cstheme="minorHAnsi"/>
          <w:sz w:val="22"/>
          <w:szCs w:val="22"/>
        </w:rPr>
        <w:t xml:space="preserve">, 1983) utilizada es la versión española - Escala de autoestima de Rosenberg (1965) - Cuestionario sobre el grado de satisfacción con las relaciones familiares - Cuestionario sobre el apoyo familiar y del grupo de iguales - Escala de Suicidio de </w:t>
      </w:r>
      <w:proofErr w:type="spellStart"/>
      <w:r w:rsidRPr="00FE3791">
        <w:rPr>
          <w:rFonts w:asciiTheme="minorHAnsi" w:hAnsiTheme="minorHAnsi" w:cstheme="minorHAnsi"/>
          <w:sz w:val="22"/>
          <w:szCs w:val="22"/>
        </w:rPr>
        <w:t>Paykel</w:t>
      </w:r>
      <w:proofErr w:type="spellEnd"/>
      <w:r w:rsidRPr="00FE3791">
        <w:rPr>
          <w:rFonts w:asciiTheme="minorHAnsi" w:hAnsiTheme="minorHAnsi" w:cstheme="minorHAnsi"/>
          <w:sz w:val="22"/>
          <w:szCs w:val="22"/>
        </w:rPr>
        <w:t xml:space="preserve"> - Preguntas de reconocimiento Para el análisis de los resultados emplearemos ANOVA (análisis de varianza) , análisis de regresión, correlación y por último, de mediación. </w:t>
      </w:r>
    </w:p>
    <w:p w14:paraId="4A9A30CA" w14:textId="6890C942"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t>Resultados principales</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Como resultados principales extraídos de la investigación, las variables que predicen la ideación suicida en adolescentes del intervalo de edad estudiado son la autoestima, TCA, 1 ansiedad y apoyo a la familia. Sin embargo, la depresión y la adicción a las redes no tiene ningún efecto directo sobre la ideación suicida en este grupo de población. Por otro lado, se explica con el análisis de regresión que 4 de estas variables serían las más significativas (autoestima, TCA, ansiedad y apoyo familiar), siendo autoestima y apoyo familiar factores de protección y TCA y ansiedad como factores de riesgo. En tercera instancia, con el análisis de mediación, hemos comprobado </w:t>
      </w:r>
      <w:proofErr w:type="gramStart"/>
      <w:r w:rsidRPr="00FE3791">
        <w:rPr>
          <w:rFonts w:asciiTheme="minorHAnsi" w:hAnsiTheme="minorHAnsi" w:cstheme="minorHAnsi"/>
          <w:sz w:val="22"/>
          <w:szCs w:val="22"/>
        </w:rPr>
        <w:t>que</w:t>
      </w:r>
      <w:proofErr w:type="gramEnd"/>
      <w:r w:rsidRPr="00FE3791">
        <w:rPr>
          <w:rFonts w:asciiTheme="minorHAnsi" w:hAnsiTheme="minorHAnsi" w:cstheme="minorHAnsi"/>
          <w:sz w:val="22"/>
          <w:szCs w:val="22"/>
        </w:rPr>
        <w:t xml:space="preserve"> si el TCA incrementa los niveles de ansiedad, tiene un efecto directo sobre el incremento de la ideación suicida. A groso modo, se puede concluir que las mujeres despuntan en todas las variables que suponen ser factores de riesgos para la ideación suicida, algo llamativo en lo que incidir. Por último, el modelo propuesto explica el 33´8% la ideación suicida. </w:t>
      </w:r>
    </w:p>
    <w:p w14:paraId="1885F322" w14:textId="1172AC32"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lastRenderedPageBreak/>
        <w:t>Conclusión y discusión</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Dicha investigación presenta ciertas limitaciones debido a que se estudia una muestra muy reducida. Lo más adecuado para obtener datos lo más reales posibles sería realizar la investigación con una muestra de población más representativa. Además, valorando los datos obtenidos y el impacto que tienen dichas variables en la ideación suicida en este colectivo de población, se determina como futuro plan de intervención desarrollar y poner en marcha programas de detección temprana en institutos donde se imparta Educación Secundaria Obligatoria y Bachillerato. </w:t>
      </w:r>
    </w:p>
    <w:p w14:paraId="07F079D6"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FE3791">
        <w:rPr>
          <w:rFonts w:asciiTheme="minorHAnsi" w:hAnsiTheme="minorHAnsi" w:cstheme="minorHAnsi"/>
          <w:b/>
          <w:sz w:val="22"/>
          <w:szCs w:val="22"/>
        </w:rPr>
        <w:t>Palabras claves:</w:t>
      </w:r>
      <w:r w:rsidRPr="00FE3791">
        <w:rPr>
          <w:rFonts w:asciiTheme="minorHAnsi" w:hAnsiTheme="minorHAnsi" w:cstheme="minorHAnsi"/>
          <w:sz w:val="22"/>
          <w:szCs w:val="22"/>
        </w:rPr>
        <w:t xml:space="preserve"> Ideación suicida, adolescentes, ansiedad, depresión, trastornos de conducta alimentaria, autoestima, satisfacción familiar, apoyo de amigos y adicción a las redes sociales.</w:t>
      </w:r>
    </w:p>
    <w:p w14:paraId="2F7EC589"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1675D7DA" w14:textId="77777777" w:rsidR="00FE3791" w:rsidRPr="00FE3791" w:rsidRDefault="00FE3791" w:rsidP="00671D91">
      <w:pPr>
        <w:shd w:val="clear" w:color="auto" w:fill="DEEAF6" w:themeFill="accent5" w:themeFillTint="33"/>
        <w:spacing w:after="120" w:line="240" w:lineRule="auto"/>
        <w:jc w:val="both"/>
        <w:rPr>
          <w:rFonts w:eastAsia="Times New Roman" w:cstheme="minorHAnsi"/>
          <w:color w:val="FF0000"/>
          <w:lang w:eastAsia="es-ES"/>
        </w:rPr>
      </w:pPr>
      <w:r w:rsidRPr="00FE3791">
        <w:rPr>
          <w:rFonts w:cstheme="minorHAnsi"/>
          <w:b/>
          <w:kern w:val="2"/>
          <w14:ligatures w14:val="standardContextual"/>
        </w:rPr>
        <w:t xml:space="preserve">Título: </w:t>
      </w:r>
      <w:r w:rsidRPr="00FE3791">
        <w:rPr>
          <w:rFonts w:eastAsia="Times New Roman" w:cstheme="minorHAnsi"/>
          <w:b/>
          <w:lang w:eastAsia="es-ES"/>
        </w:rPr>
        <w:t>De la conciencia a la acción</w:t>
      </w:r>
    </w:p>
    <w:p w14:paraId="1218D215" w14:textId="1CE10FD6"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s de autores/as:</w:t>
      </w:r>
    </w:p>
    <w:p w14:paraId="6882DCE9" w14:textId="77777777" w:rsid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r w:rsidRPr="00FE3791">
        <w:rPr>
          <w:rFonts w:asciiTheme="minorHAnsi" w:hAnsiTheme="minorHAnsi" w:cstheme="minorHAnsi"/>
          <w:sz w:val="22"/>
          <w:szCs w:val="22"/>
        </w:rPr>
        <w:t>Luz Navarro Bendito</w:t>
      </w:r>
    </w:p>
    <w:p w14:paraId="2AF7DDD6" w14:textId="77777777" w:rsid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r w:rsidRPr="00671D91">
        <w:rPr>
          <w:rFonts w:asciiTheme="minorHAnsi" w:hAnsiTheme="minorHAnsi" w:cstheme="minorHAnsi"/>
          <w:sz w:val="22"/>
          <w:szCs w:val="22"/>
        </w:rPr>
        <w:t xml:space="preserve">Jane </w:t>
      </w:r>
      <w:proofErr w:type="spellStart"/>
      <w:r w:rsidRPr="00671D91">
        <w:rPr>
          <w:rFonts w:asciiTheme="minorHAnsi" w:hAnsiTheme="minorHAnsi" w:cstheme="minorHAnsi"/>
          <w:sz w:val="22"/>
          <w:szCs w:val="22"/>
        </w:rPr>
        <w:t>Pijarán</w:t>
      </w:r>
      <w:proofErr w:type="spellEnd"/>
      <w:r w:rsidRPr="00671D91">
        <w:rPr>
          <w:rFonts w:asciiTheme="minorHAnsi" w:hAnsiTheme="minorHAnsi" w:cstheme="minorHAnsi"/>
          <w:sz w:val="22"/>
          <w:szCs w:val="22"/>
        </w:rPr>
        <w:t xml:space="preserve"> Beltrán </w:t>
      </w:r>
    </w:p>
    <w:p w14:paraId="5A5FB4CE" w14:textId="1786D721" w:rsidR="00FE3791" w:rsidRPr="00671D91" w:rsidRDefault="00FE3791" w:rsidP="00671D91">
      <w:pPr>
        <w:pStyle w:val="v1elementtoproof"/>
        <w:numPr>
          <w:ilvl w:val="0"/>
          <w:numId w:val="13"/>
        </w:numPr>
        <w:shd w:val="clear" w:color="auto" w:fill="FFFFFF"/>
        <w:spacing w:before="0" w:beforeAutospacing="0" w:after="0" w:afterAutospacing="0"/>
        <w:ind w:left="714" w:hanging="357"/>
        <w:jc w:val="both"/>
        <w:rPr>
          <w:rFonts w:asciiTheme="minorHAnsi" w:hAnsiTheme="minorHAnsi" w:cstheme="minorHAnsi"/>
          <w:sz w:val="22"/>
          <w:szCs w:val="22"/>
        </w:rPr>
      </w:pPr>
      <w:r w:rsidRPr="00671D91">
        <w:rPr>
          <w:rFonts w:asciiTheme="minorHAnsi" w:hAnsiTheme="minorHAnsi" w:cstheme="minorHAnsi"/>
          <w:sz w:val="22"/>
          <w:szCs w:val="22"/>
        </w:rPr>
        <w:t xml:space="preserve">María Rodríguez Suárez </w:t>
      </w:r>
    </w:p>
    <w:p w14:paraId="24A82E10"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p>
    <w:p w14:paraId="62FBDAE6"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FE3791">
        <w:rPr>
          <w:rFonts w:asciiTheme="minorHAnsi" w:hAnsiTheme="minorHAnsi" w:cstheme="minorHAnsi"/>
          <w:b/>
          <w:sz w:val="22"/>
          <w:szCs w:val="22"/>
        </w:rPr>
        <w:t>Resumen:</w:t>
      </w:r>
    </w:p>
    <w:p w14:paraId="546C0D07" w14:textId="3AD697DB"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INTRODUCCIÓN</w:t>
      </w:r>
      <w:r w:rsidR="00671D91">
        <w:rPr>
          <w:rFonts w:asciiTheme="minorHAnsi" w:hAnsiTheme="minorHAnsi" w:cstheme="minorHAnsi"/>
          <w:sz w:val="22"/>
          <w:szCs w:val="22"/>
        </w:rPr>
        <w:t xml:space="preserve">. </w:t>
      </w:r>
      <w:r w:rsidRPr="00FE3791">
        <w:rPr>
          <w:rFonts w:asciiTheme="minorHAnsi" w:hAnsiTheme="minorHAnsi" w:cstheme="minorHAnsi"/>
          <w:sz w:val="22"/>
          <w:szCs w:val="22"/>
        </w:rPr>
        <w:t xml:space="preserve">Las mujeres, en su mayoría, han nacido en contextos en los que su propio género ha determinado su estilo de vida, su pensamiento y, de alguna manera, su vocación profesional. Por ello, se trata de abordar una perspectiva en la que se comprenda la influencia de las vivencias personales en la decisión de profesionalizarse en el ámbito de la prevención de la violencia de género y la promoción de la igualdad. </w:t>
      </w:r>
    </w:p>
    <w:p w14:paraId="41F1B64E" w14:textId="79967DFC"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METODOLOGÍA</w:t>
      </w:r>
      <w:r w:rsidR="00671D91">
        <w:rPr>
          <w:rFonts w:asciiTheme="minorHAnsi" w:hAnsiTheme="minorHAnsi" w:cstheme="minorHAnsi"/>
          <w:sz w:val="22"/>
          <w:szCs w:val="22"/>
        </w:rPr>
        <w:t xml:space="preserve">. </w:t>
      </w:r>
      <w:r w:rsidRPr="00FE3791">
        <w:rPr>
          <w:rFonts w:asciiTheme="minorHAnsi" w:hAnsiTheme="minorHAnsi" w:cstheme="minorHAnsi"/>
          <w:sz w:val="22"/>
          <w:szCs w:val="22"/>
        </w:rPr>
        <w:t xml:space="preserve">Para esta investigación se han utilizado la revisión bibliográfica y la encuesta con el objetivo de correlacionar la experiencia personal o el desconocimiento de las acciones institucionales contra la violencia de género y las decisiones de especializarse en los estudios. Se han recogido datos de las futuras trabajadoras sociales interesadas en el ámbito de la violencia de género e igualdad, además de sus experiencias o percepciones del sistema social en el que se encuentran a través de un cuestionario online a las alumnas de cada curso y grupo de Trabajo Social de la Universidad de Málaga. MARCO TEÓRICO La violencia de género cuenta con una ley orgánica que la aborda como objeto, publicada el 28 de diciembre de 2004 bajo el título de “Medidas de Protección Integral contra la Violencia de Género” tiene como finalidad no solo recoger qué se entiende como violencia sino defender la igualdad y para ello recoge la actuación de protección y prevención. Así mismo, la violencia es definida en esta ley como “(...) todo acto de violencia física y psicológica, incluidas las agresiones a la libertad sexual, las amenazas, las coacciones o la privación arbitraria de libertad”. </w:t>
      </w:r>
      <w:proofErr w:type="gramStart"/>
      <w:r w:rsidRPr="00FE3791">
        <w:rPr>
          <w:rFonts w:asciiTheme="minorHAnsi" w:hAnsiTheme="minorHAnsi" w:cstheme="minorHAnsi"/>
          <w:sz w:val="22"/>
          <w:szCs w:val="22"/>
        </w:rPr>
        <w:t>Además</w:t>
      </w:r>
      <w:proofErr w:type="gramEnd"/>
      <w:r w:rsidRPr="00FE3791">
        <w:rPr>
          <w:rFonts w:asciiTheme="minorHAnsi" w:hAnsiTheme="minorHAnsi" w:cstheme="minorHAnsi"/>
          <w:sz w:val="22"/>
          <w:szCs w:val="22"/>
        </w:rPr>
        <w:t xml:space="preserve"> añade que se trata de todo aquel acto “(...) con el objetivo de causar perjuicio o daño a las mujeres se ejerza sobre sus familiares o allegados menores de edad por parte de las personas indicadas en el apartado primero”. </w:t>
      </w:r>
    </w:p>
    <w:p w14:paraId="1DD8BE6A" w14:textId="0211573A"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t>RESULTADOS</w:t>
      </w:r>
      <w:r w:rsidR="00671D91">
        <w:rPr>
          <w:rFonts w:asciiTheme="minorHAnsi" w:hAnsiTheme="minorHAnsi" w:cstheme="minorHAnsi"/>
          <w:sz w:val="22"/>
          <w:szCs w:val="22"/>
        </w:rPr>
        <w:t xml:space="preserve">. </w:t>
      </w:r>
      <w:r w:rsidRPr="00FE3791">
        <w:rPr>
          <w:rFonts w:asciiTheme="minorHAnsi" w:hAnsiTheme="minorHAnsi" w:cstheme="minorHAnsi"/>
          <w:sz w:val="22"/>
          <w:szCs w:val="22"/>
        </w:rPr>
        <w:t xml:space="preserve">Se han obtenido 53 respuestas mostrando una participación más o menos igualitaria en todos los cursos y grupos. Fuente: elaboración propia En referencia al sistema de prevención de la violencia de género, el 67 '9 % cree que es ineficiente y no cumple todas las funciones que debería desempeñar. Fuente: elaboración propia Y dada la mayoría de respuestas en la ineficiencia del sistema, un 30 '2% admite no conocer adecuadamente los recursos y servicios en esta cuestión y el 41' 5% duda de estar informada correctamente frente al 28 '3% que sí está informada. Fuente: elaboración </w:t>
      </w:r>
      <w:proofErr w:type="gramStart"/>
      <w:r w:rsidRPr="00FE3791">
        <w:rPr>
          <w:rFonts w:asciiTheme="minorHAnsi" w:hAnsiTheme="minorHAnsi" w:cstheme="minorHAnsi"/>
          <w:sz w:val="22"/>
          <w:szCs w:val="22"/>
        </w:rPr>
        <w:t>propia</w:t>
      </w:r>
      <w:proofErr w:type="gramEnd"/>
      <w:r w:rsidRPr="00FE3791">
        <w:rPr>
          <w:rFonts w:asciiTheme="minorHAnsi" w:hAnsiTheme="minorHAnsi" w:cstheme="minorHAnsi"/>
          <w:sz w:val="22"/>
          <w:szCs w:val="22"/>
        </w:rPr>
        <w:t xml:space="preserve"> Por último, es conveniente destacar que el 66% de las mujeres encuestadas niega dedicarse a ello debido al trauma que le genera rememorar experiencias. El 26 '4% afirma querer cambiar la situación que hayan podido sufrir y el 7' 6% destaca otros motivos como el sistema ineficiente en el que se encuentran. Fuente: elaboración propia.</w:t>
      </w:r>
    </w:p>
    <w:p w14:paraId="6C47B4A0" w14:textId="390A838F"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sz w:val="22"/>
          <w:szCs w:val="22"/>
        </w:rPr>
      </w:pPr>
      <w:r w:rsidRPr="00FE3791">
        <w:rPr>
          <w:rFonts w:asciiTheme="minorHAnsi" w:hAnsiTheme="minorHAnsi" w:cstheme="minorHAnsi"/>
          <w:sz w:val="22"/>
          <w:szCs w:val="22"/>
        </w:rPr>
        <w:lastRenderedPageBreak/>
        <w:t>CONCLUSIONES</w:t>
      </w:r>
      <w:r w:rsidR="00671D91">
        <w:rPr>
          <w:rFonts w:asciiTheme="minorHAnsi" w:hAnsiTheme="minorHAnsi" w:cstheme="minorHAnsi"/>
          <w:sz w:val="22"/>
          <w:szCs w:val="22"/>
        </w:rPr>
        <w:t xml:space="preserve">. </w:t>
      </w:r>
      <w:r w:rsidRPr="00FE3791">
        <w:rPr>
          <w:rFonts w:asciiTheme="minorHAnsi" w:hAnsiTheme="minorHAnsi" w:cstheme="minorHAnsi"/>
          <w:sz w:val="22"/>
          <w:szCs w:val="22"/>
        </w:rPr>
        <w:t xml:space="preserve">Podemos concluir con que las mujeres de Trabajo Social de la Universidad de Málaga han seleccionado la especialidad de violencia de género por motivos diferentes de la experiencia propia. Además, se encuentran en un sistema en el que ni siquiera saben desenvolverse correctamente por la ausencia de intervención institucional o la incorrecta difusión de las medidas existentes. </w:t>
      </w:r>
    </w:p>
    <w:p w14:paraId="31B57237" w14:textId="77777777"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FE3791">
        <w:rPr>
          <w:rFonts w:asciiTheme="minorHAnsi" w:hAnsiTheme="minorHAnsi" w:cstheme="minorHAnsi"/>
          <w:b/>
          <w:sz w:val="22"/>
          <w:szCs w:val="22"/>
        </w:rPr>
        <w:t>Palabras clave:</w:t>
      </w:r>
      <w:r w:rsidRPr="00FE3791">
        <w:rPr>
          <w:rFonts w:asciiTheme="minorHAnsi" w:hAnsiTheme="minorHAnsi" w:cstheme="minorHAnsi"/>
          <w:sz w:val="22"/>
          <w:szCs w:val="22"/>
        </w:rPr>
        <w:t xml:space="preserve"> Género, vocación profesional, orientación, violencia de género, mujer, medidas institucionales.</w:t>
      </w:r>
    </w:p>
    <w:p w14:paraId="18EB8319" w14:textId="77777777" w:rsidR="00FE3791" w:rsidRPr="00FE3791" w:rsidRDefault="00FE3791" w:rsidP="00FE3791">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22272451" w14:textId="77777777" w:rsidR="00FE3791" w:rsidRPr="00FE3791" w:rsidRDefault="00FE3791" w:rsidP="00671D91">
      <w:pPr>
        <w:pStyle w:val="v1elementtoproof"/>
        <w:shd w:val="clear" w:color="auto" w:fill="DEEAF6" w:themeFill="accent5" w:themeFillTint="33"/>
        <w:spacing w:before="0" w:beforeAutospacing="0" w:after="120" w:afterAutospacing="0"/>
        <w:jc w:val="both"/>
        <w:rPr>
          <w:rFonts w:asciiTheme="minorHAnsi" w:hAnsiTheme="minorHAnsi" w:cstheme="minorHAnsi"/>
          <w:b/>
          <w:sz w:val="22"/>
          <w:szCs w:val="22"/>
        </w:rPr>
      </w:pPr>
      <w:r w:rsidRPr="00FE3791">
        <w:rPr>
          <w:rFonts w:asciiTheme="minorHAnsi" w:hAnsiTheme="minorHAnsi" w:cstheme="minorHAnsi"/>
          <w:b/>
          <w:bCs/>
          <w:color w:val="000000"/>
          <w:sz w:val="22"/>
          <w:szCs w:val="22"/>
        </w:rPr>
        <w:t>Título</w:t>
      </w:r>
      <w:r w:rsidRPr="00FE3791">
        <w:rPr>
          <w:rFonts w:asciiTheme="minorHAnsi" w:hAnsiTheme="minorHAnsi" w:cstheme="minorHAnsi"/>
          <w:color w:val="000000"/>
          <w:sz w:val="22"/>
          <w:szCs w:val="22"/>
        </w:rPr>
        <w:t xml:space="preserve">: </w:t>
      </w:r>
      <w:r w:rsidRPr="00FE3791">
        <w:rPr>
          <w:rFonts w:asciiTheme="minorHAnsi" w:hAnsiTheme="minorHAnsi" w:cstheme="minorHAnsi"/>
          <w:b/>
          <w:sz w:val="22"/>
          <w:szCs w:val="22"/>
        </w:rPr>
        <w:t xml:space="preserve">Aspectos psicosociales que justifican el retorno de los ruandeses. </w:t>
      </w:r>
    </w:p>
    <w:p w14:paraId="0D3BABFB" w14:textId="357D6F3A"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autores/as:</w:t>
      </w:r>
    </w:p>
    <w:p w14:paraId="7CAFDDAE" w14:textId="26D06FA3" w:rsidR="00FE3791" w:rsidRPr="00671D91" w:rsidRDefault="00FE3791" w:rsidP="00671D91">
      <w:pPr>
        <w:pStyle w:val="Prrafodelista"/>
        <w:numPr>
          <w:ilvl w:val="0"/>
          <w:numId w:val="13"/>
        </w:numPr>
        <w:spacing w:after="120" w:line="240" w:lineRule="auto"/>
        <w:jc w:val="both"/>
        <w:rPr>
          <w:rFonts w:eastAsia="Times New Roman" w:cstheme="minorHAnsi"/>
          <w:lang w:eastAsia="es-ES"/>
        </w:rPr>
      </w:pPr>
      <w:r w:rsidRPr="00671D91">
        <w:rPr>
          <w:rFonts w:eastAsia="Times New Roman" w:cstheme="minorHAnsi"/>
          <w:lang w:eastAsia="es-ES"/>
        </w:rPr>
        <w:t xml:space="preserve">Candelaria </w:t>
      </w:r>
      <w:proofErr w:type="spellStart"/>
      <w:r w:rsidRPr="00671D91">
        <w:rPr>
          <w:rFonts w:eastAsia="Times New Roman" w:cstheme="minorHAnsi"/>
          <w:lang w:eastAsia="es-ES"/>
        </w:rPr>
        <w:t>Carletti</w:t>
      </w:r>
      <w:proofErr w:type="spellEnd"/>
    </w:p>
    <w:p w14:paraId="01D85F44" w14:textId="25577CAF"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FE3791">
        <w:rPr>
          <w:rFonts w:asciiTheme="minorHAnsi" w:hAnsiTheme="minorHAnsi" w:cstheme="minorHAnsi"/>
          <w:b/>
          <w:sz w:val="22"/>
          <w:szCs w:val="22"/>
        </w:rPr>
        <w:t>Resumen</w:t>
      </w:r>
    </w:p>
    <w:p w14:paraId="687BF5D1" w14:textId="47A958B3"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t>Introducción</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Desde los principios del genocidio de Ruanda en 1994, millones de personas se vieron forzadas a huir a países vecinos, del este de África. Un número muy significativo de refugiados retornaron a su país de origen, aunque sabían que al volver regresaban a un país destrozado tras un genocidio que cobró la vida de más de 800.000 personas y dejó al país en condiciones deplorables, sus tierras ya no les pertenecían y sus seres queridos probablemente habrían muerto durante el genocidio. </w:t>
      </w:r>
    </w:p>
    <w:p w14:paraId="640527C2" w14:textId="19F96446"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t>Metodología</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A través de la investigación realizada, se pretendió descubrir cuáles fueron los factores que influenciaron a estos refugiados ruandeses exiliados a retornar. Se llevó a cabo un cuestionario en el que participaron 70 retornados, quienes respondieron preguntas de escalas científicas, por ejemplo: la Escala de Satisfacción con la Vida (SWLS), la escala breve de 10 ítems de resiliencia (Cd-RISC-10), la Escala de Sentido de Comunidad (</w:t>
      </w:r>
      <w:proofErr w:type="spellStart"/>
      <w:r w:rsidRPr="00FE3791">
        <w:rPr>
          <w:rFonts w:asciiTheme="minorHAnsi" w:hAnsiTheme="minorHAnsi" w:cstheme="minorHAnsi"/>
          <w:sz w:val="22"/>
          <w:szCs w:val="22"/>
        </w:rPr>
        <w:t>Community</w:t>
      </w:r>
      <w:proofErr w:type="spellEnd"/>
      <w:r w:rsidRPr="00FE3791">
        <w:rPr>
          <w:rFonts w:asciiTheme="minorHAnsi" w:hAnsiTheme="minorHAnsi" w:cstheme="minorHAnsi"/>
          <w:sz w:val="22"/>
          <w:szCs w:val="22"/>
        </w:rPr>
        <w:t xml:space="preserve"> </w:t>
      </w:r>
      <w:proofErr w:type="spellStart"/>
      <w:r w:rsidRPr="00FE3791">
        <w:rPr>
          <w:rFonts w:asciiTheme="minorHAnsi" w:hAnsiTheme="minorHAnsi" w:cstheme="minorHAnsi"/>
          <w:sz w:val="22"/>
          <w:szCs w:val="22"/>
        </w:rPr>
        <w:t>Scale</w:t>
      </w:r>
      <w:proofErr w:type="spellEnd"/>
      <w:r w:rsidRPr="00FE3791">
        <w:rPr>
          <w:rFonts w:asciiTheme="minorHAnsi" w:hAnsiTheme="minorHAnsi" w:cstheme="minorHAnsi"/>
          <w:sz w:val="22"/>
          <w:szCs w:val="22"/>
        </w:rPr>
        <w:t xml:space="preserve">) elaborada por Peterson, Speer y </w:t>
      </w:r>
      <w:proofErr w:type="spellStart"/>
      <w:r w:rsidRPr="00FE3791">
        <w:rPr>
          <w:rFonts w:asciiTheme="minorHAnsi" w:hAnsiTheme="minorHAnsi" w:cstheme="minorHAnsi"/>
          <w:sz w:val="22"/>
          <w:szCs w:val="22"/>
        </w:rPr>
        <w:t>McMillan</w:t>
      </w:r>
      <w:proofErr w:type="spellEnd"/>
      <w:r w:rsidRPr="00FE3791">
        <w:rPr>
          <w:rFonts w:asciiTheme="minorHAnsi" w:hAnsiTheme="minorHAnsi" w:cstheme="minorHAnsi"/>
          <w:sz w:val="22"/>
          <w:szCs w:val="22"/>
        </w:rPr>
        <w:t xml:space="preserve"> (2008), la Escala de Participación Comunitaria, el Apoyo Social Comunitario (AC-90) de García y Musitu (1990), la Escala de Apoyo Social de García, </w:t>
      </w:r>
      <w:proofErr w:type="spellStart"/>
      <w:r w:rsidRPr="00FE3791">
        <w:rPr>
          <w:rFonts w:asciiTheme="minorHAnsi" w:hAnsiTheme="minorHAnsi" w:cstheme="minorHAnsi"/>
          <w:sz w:val="22"/>
          <w:szCs w:val="22"/>
        </w:rPr>
        <w:t>Hombrados</w:t>
      </w:r>
      <w:proofErr w:type="spellEnd"/>
      <w:r w:rsidRPr="00FE3791">
        <w:rPr>
          <w:rFonts w:asciiTheme="minorHAnsi" w:hAnsiTheme="minorHAnsi" w:cstheme="minorHAnsi"/>
          <w:sz w:val="22"/>
          <w:szCs w:val="22"/>
        </w:rPr>
        <w:t xml:space="preserve">-Mendieta y Gómez (2016). Además, se utilizó una escala Likert compuesta por 6 ítems (Distribución equitativa de tierras, apoyo social de Familia, amigos, antiguos vecinos y organizaciones, políticas de seguridad, protección). </w:t>
      </w:r>
    </w:p>
    <w:p w14:paraId="221E057F" w14:textId="354989F0"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t>Objetivos generales</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Se plantean dos objetivos generales, por un lado, determinar cuáles han sido los principales factores que han motivado el retorno y, por otro lado, se quiere determinar </w:t>
      </w:r>
      <w:proofErr w:type="spellStart"/>
      <w:r w:rsidRPr="00FE3791">
        <w:rPr>
          <w:rFonts w:asciiTheme="minorHAnsi" w:hAnsiTheme="minorHAnsi" w:cstheme="minorHAnsi"/>
          <w:sz w:val="22"/>
          <w:szCs w:val="22"/>
        </w:rPr>
        <w:t>que</w:t>
      </w:r>
      <w:proofErr w:type="spellEnd"/>
      <w:r w:rsidRPr="00FE3791">
        <w:rPr>
          <w:rFonts w:asciiTheme="minorHAnsi" w:hAnsiTheme="minorHAnsi" w:cstheme="minorHAnsi"/>
          <w:sz w:val="22"/>
          <w:szCs w:val="22"/>
        </w:rPr>
        <w:t xml:space="preserve"> factores psicosociales predicen la integración de los retornados. Para analizar la integración se utiliza el sentido de comunidad en cuanto se trata de un constructo utilizado como principal elemento de integración comunitaria (</w:t>
      </w:r>
      <w:proofErr w:type="spellStart"/>
      <w:r w:rsidRPr="00FE3791">
        <w:rPr>
          <w:rFonts w:asciiTheme="minorHAnsi" w:hAnsiTheme="minorHAnsi" w:cstheme="minorHAnsi"/>
          <w:sz w:val="22"/>
          <w:szCs w:val="22"/>
        </w:rPr>
        <w:t>Moscato</w:t>
      </w:r>
      <w:proofErr w:type="spellEnd"/>
      <w:r w:rsidRPr="00FE3791">
        <w:rPr>
          <w:rFonts w:asciiTheme="minorHAnsi" w:hAnsiTheme="minorHAnsi" w:cstheme="minorHAnsi"/>
          <w:sz w:val="22"/>
          <w:szCs w:val="22"/>
        </w:rPr>
        <w:t xml:space="preserve">, 2022). </w:t>
      </w:r>
    </w:p>
    <w:p w14:paraId="5AB8A8CF" w14:textId="72FEBAE5" w:rsidR="00FE3791" w:rsidRPr="00671D91" w:rsidRDefault="00FE3791" w:rsidP="00FE3791">
      <w:pPr>
        <w:pStyle w:val="v1elementtoproof"/>
        <w:shd w:val="clear" w:color="auto" w:fill="FFFFFF"/>
        <w:spacing w:before="0" w:beforeAutospacing="0" w:after="120" w:afterAutospacing="0"/>
        <w:jc w:val="both"/>
        <w:rPr>
          <w:rFonts w:asciiTheme="minorHAnsi" w:hAnsiTheme="minorHAnsi" w:cstheme="minorHAnsi"/>
          <w:b/>
          <w:sz w:val="22"/>
          <w:szCs w:val="22"/>
        </w:rPr>
      </w:pPr>
      <w:r w:rsidRPr="00671D91">
        <w:rPr>
          <w:rFonts w:asciiTheme="minorHAnsi" w:hAnsiTheme="minorHAnsi" w:cstheme="minorHAnsi"/>
          <w:b/>
          <w:sz w:val="22"/>
          <w:szCs w:val="22"/>
        </w:rPr>
        <w:t>Resultados</w:t>
      </w:r>
      <w:r w:rsidR="00671D91">
        <w:rPr>
          <w:rFonts w:asciiTheme="minorHAnsi" w:hAnsiTheme="minorHAnsi" w:cstheme="minorHAnsi"/>
          <w:b/>
          <w:sz w:val="22"/>
          <w:szCs w:val="22"/>
        </w:rPr>
        <w:t xml:space="preserve">. </w:t>
      </w:r>
      <w:r w:rsidRPr="00FE3791">
        <w:rPr>
          <w:rFonts w:asciiTheme="minorHAnsi" w:hAnsiTheme="minorHAnsi" w:cstheme="minorHAnsi"/>
          <w:sz w:val="22"/>
          <w:szCs w:val="22"/>
        </w:rPr>
        <w:t xml:space="preserve">Participan 70 retornados, de los cuales la mayoría (71,4%) son mujeres. Con una edad media de 52,9 años (D.T. 13, 4). Entre los principales motivos que han justificado el retorno se puede contemplar la política de seguridad y protección garantizada por el estado, así como la red de apoyo compuesta por amigos y antiguos vecinos. En cuanto a la integración comunitaria, se realiza un análisis de regresión con método </w:t>
      </w:r>
      <w:proofErr w:type="spellStart"/>
      <w:r w:rsidRPr="00FE3791">
        <w:rPr>
          <w:rFonts w:asciiTheme="minorHAnsi" w:hAnsiTheme="minorHAnsi" w:cstheme="minorHAnsi"/>
          <w:sz w:val="22"/>
          <w:szCs w:val="22"/>
        </w:rPr>
        <w:t>stepwise</w:t>
      </w:r>
      <w:proofErr w:type="spellEnd"/>
      <w:r w:rsidRPr="00FE3791">
        <w:rPr>
          <w:rFonts w:asciiTheme="minorHAnsi" w:hAnsiTheme="minorHAnsi" w:cstheme="minorHAnsi"/>
          <w:sz w:val="22"/>
          <w:szCs w:val="22"/>
        </w:rPr>
        <w:t xml:space="preserve"> y esa se determina principalmente por la capacidad de resiliencia (β= .25; p</w:t>
      </w:r>
    </w:p>
    <w:p w14:paraId="7930EB3B" w14:textId="77777777" w:rsidR="00FE3791" w:rsidRPr="00FE3791" w:rsidRDefault="00FE3791" w:rsidP="00FE3791">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64BD350F" w14:textId="77777777" w:rsidR="00FE3791" w:rsidRPr="00FE3791" w:rsidRDefault="00FE3791" w:rsidP="00FE3791">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19B6F2C8" w14:textId="77777777" w:rsidR="00FE3791" w:rsidRPr="00FE3791" w:rsidRDefault="00FE3791" w:rsidP="00671D91">
      <w:pPr>
        <w:shd w:val="clear" w:color="auto" w:fill="DEEAF6" w:themeFill="accent5" w:themeFillTint="33"/>
        <w:spacing w:after="120" w:line="240" w:lineRule="auto"/>
        <w:jc w:val="both"/>
        <w:rPr>
          <w:rFonts w:cstheme="minorHAnsi"/>
          <w:b/>
        </w:rPr>
      </w:pPr>
      <w:r w:rsidRPr="00FE3791">
        <w:rPr>
          <w:rFonts w:cstheme="minorHAnsi"/>
          <w:b/>
          <w:bCs/>
          <w:color w:val="000000"/>
        </w:rPr>
        <w:t>Título</w:t>
      </w:r>
      <w:r w:rsidRPr="00FE3791">
        <w:rPr>
          <w:rFonts w:cstheme="minorHAnsi"/>
          <w:color w:val="000000"/>
        </w:rPr>
        <w:t xml:space="preserve">: </w:t>
      </w:r>
      <w:r w:rsidRPr="00FE3791">
        <w:rPr>
          <w:rFonts w:cstheme="minorHAnsi"/>
          <w:b/>
        </w:rPr>
        <w:t>Particularidades del Trabajo Social en zonas despobladas: la visión de sus profesionales.</w:t>
      </w:r>
    </w:p>
    <w:p w14:paraId="41A79200" w14:textId="55AD47C3" w:rsidR="00FE3791" w:rsidRPr="00671D91" w:rsidRDefault="00FE3791" w:rsidP="00671D91">
      <w:pPr>
        <w:spacing w:after="0" w:line="240" w:lineRule="auto"/>
        <w:jc w:val="both"/>
        <w:rPr>
          <w:rFonts w:eastAsia="Times New Roman" w:cstheme="minorHAnsi"/>
          <w:b/>
          <w:lang w:eastAsia="es-ES"/>
        </w:rPr>
      </w:pPr>
      <w:r w:rsidRPr="00671D91">
        <w:rPr>
          <w:rFonts w:eastAsia="Times New Roman" w:cstheme="minorHAnsi"/>
          <w:b/>
          <w:lang w:eastAsia="es-ES"/>
        </w:rPr>
        <w:t>Nombre y afiliación de autores/as:</w:t>
      </w:r>
    </w:p>
    <w:p w14:paraId="772FF04A" w14:textId="77777777" w:rsidR="00671D91" w:rsidRP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b/>
          <w:bCs/>
          <w:color w:val="FF0000"/>
          <w:sz w:val="22"/>
          <w:szCs w:val="22"/>
        </w:rPr>
      </w:pPr>
      <w:r w:rsidRPr="00671D91">
        <w:rPr>
          <w:rFonts w:asciiTheme="minorHAnsi" w:hAnsiTheme="minorHAnsi" w:cstheme="minorHAnsi"/>
          <w:sz w:val="22"/>
          <w:szCs w:val="22"/>
        </w:rPr>
        <w:t xml:space="preserve">Ana Laura López </w:t>
      </w:r>
      <w:proofErr w:type="spellStart"/>
      <w:r w:rsidRPr="00671D91">
        <w:rPr>
          <w:rFonts w:asciiTheme="minorHAnsi" w:hAnsiTheme="minorHAnsi" w:cstheme="minorHAnsi"/>
          <w:sz w:val="22"/>
          <w:szCs w:val="22"/>
        </w:rPr>
        <w:t>Carlassare</w:t>
      </w:r>
      <w:proofErr w:type="spellEnd"/>
      <w:r w:rsidRPr="00671D91">
        <w:rPr>
          <w:rFonts w:asciiTheme="minorHAnsi" w:hAnsiTheme="minorHAnsi" w:cstheme="minorHAnsi"/>
          <w:sz w:val="22"/>
          <w:szCs w:val="22"/>
        </w:rPr>
        <w:t xml:space="preserve"> - Universidad de Málaga</w:t>
      </w:r>
    </w:p>
    <w:p w14:paraId="05392583" w14:textId="325B649F" w:rsidR="00FE3791" w:rsidRPr="00671D91" w:rsidRDefault="00FE3791" w:rsidP="00671D91">
      <w:pPr>
        <w:pStyle w:val="v1elementtoproof"/>
        <w:numPr>
          <w:ilvl w:val="0"/>
          <w:numId w:val="13"/>
        </w:numPr>
        <w:shd w:val="clear" w:color="auto" w:fill="FFFFFF"/>
        <w:spacing w:before="0" w:beforeAutospacing="0" w:after="0" w:afterAutospacing="0"/>
        <w:jc w:val="both"/>
        <w:rPr>
          <w:rFonts w:asciiTheme="minorHAnsi" w:hAnsiTheme="minorHAnsi" w:cstheme="minorHAnsi"/>
          <w:b/>
          <w:bCs/>
          <w:color w:val="FF0000"/>
          <w:sz w:val="22"/>
          <w:szCs w:val="22"/>
        </w:rPr>
      </w:pPr>
      <w:r w:rsidRPr="00671D91">
        <w:rPr>
          <w:rFonts w:asciiTheme="minorHAnsi" w:hAnsiTheme="minorHAnsi" w:cstheme="minorHAnsi"/>
          <w:sz w:val="22"/>
          <w:szCs w:val="22"/>
        </w:rPr>
        <w:t>Javier Pacheco Mangas - Universidad de Málaga</w:t>
      </w:r>
    </w:p>
    <w:p w14:paraId="7C60B2BB" w14:textId="77777777" w:rsidR="00FE3791" w:rsidRPr="00FE3791" w:rsidRDefault="00FE3791" w:rsidP="00FE3791">
      <w:pPr>
        <w:spacing w:after="120" w:line="240" w:lineRule="auto"/>
        <w:jc w:val="both"/>
        <w:rPr>
          <w:rFonts w:cstheme="minorHAnsi"/>
        </w:rPr>
      </w:pPr>
    </w:p>
    <w:p w14:paraId="24B5AD37" w14:textId="73A6EE76" w:rsidR="00FE3791" w:rsidRPr="00FE3791" w:rsidRDefault="00FE3791" w:rsidP="00FE3791">
      <w:pPr>
        <w:spacing w:after="120" w:line="240" w:lineRule="auto"/>
        <w:jc w:val="both"/>
        <w:rPr>
          <w:rFonts w:cstheme="minorHAnsi"/>
          <w:b/>
        </w:rPr>
      </w:pPr>
      <w:r w:rsidRPr="00FE3791">
        <w:rPr>
          <w:rFonts w:cstheme="minorHAnsi"/>
          <w:b/>
        </w:rPr>
        <w:lastRenderedPageBreak/>
        <w:t>Resumen</w:t>
      </w:r>
    </w:p>
    <w:p w14:paraId="68C2E56E" w14:textId="182FB022" w:rsidR="00FE3791" w:rsidRPr="00FE3791" w:rsidRDefault="00FE3791" w:rsidP="00FE3791">
      <w:pPr>
        <w:spacing w:after="120" w:line="240" w:lineRule="auto"/>
        <w:jc w:val="both"/>
        <w:rPr>
          <w:rFonts w:cstheme="minorHAnsi"/>
        </w:rPr>
      </w:pPr>
      <w:r w:rsidRPr="00FE3791">
        <w:rPr>
          <w:rFonts w:cstheme="minorHAnsi"/>
        </w:rPr>
        <w:t xml:space="preserve">La despoblación rural tiene consecuencias económicas, ambientales, culturales, sociales, etc. severas sobre las comunidades. Los servicios sociales y en particular el Trabajo Social, desempeñan un papel crucial al abordar los desafíos de estas comunidades. Quienes trabajan en estos municipios buscan comprender las causas generales y locales del fenómeno., capacitándose para diseñar y poner en práctica intervenciones específicas. Las trabajadoras/es sociales colaboran con residentes y no residentes vinculadas e identifican recursos, fortalezas y oportunidades en la comunidad. Aprovechan activos empresariales, asociativos, de infraestructura y capital social para revitalizar estas zonas. El Trabajo Social apoya a grupos vulnerables y trabaja para fortalecer las redes de apoyo, promover la participación y la cohesión social. Incluso tiene un rol al abogar por políticas públicas de acceso equitativo al Estado de Bienestar y a los servicios sociales, independientemente de la densidad poblacional. Estas acciones del Trabajo Social en estos territorios se desarrollan con ciertas peculiaridades en las estrategias, enfoques y fórmulas, según sus profesionales. El objetivo de esta investigación ha sido visibilizarlas. Se han realizado nueve entrevistas en profundidad a profesionales del Trabajo Social de Servicios Sociales Comunitarios de zonas despobladas o en riesgo de despoblación en Andalucía. Los </w:t>
      </w:r>
      <w:proofErr w:type="gramStart"/>
      <w:r w:rsidRPr="00FE3791">
        <w:rPr>
          <w:rFonts w:cstheme="minorHAnsi"/>
        </w:rPr>
        <w:t>resultados  arrojan</w:t>
      </w:r>
      <w:proofErr w:type="gramEnd"/>
      <w:r w:rsidRPr="00FE3791">
        <w:rPr>
          <w:rFonts w:cstheme="minorHAnsi"/>
        </w:rPr>
        <w:t xml:space="preserve"> que no solo consideran realizar sus funciones de manera diversa a la de zonas con mayor cantidad y/o densidad de población, sino que muchas de las funciones que realizan son directamente distintas a las que realizarían desde el mismo Sistema Público de Servicios Sociales pero en otras zonas. En este sentido, enfatizan la continua extralimitación de sus funciones, incluso abordando cuestiones para las que no están formadas e informadas. Sobre todo, recalcan que se ha producido un paulatino abandono del Trabajo Social Comunitario en estos territorios. Este debería recuperarse en un doble sentido: para la intervención y para realizar diagnósticos de necesidades reales y no únicamente en base a recursos o servicios a ofrecer.  Los resultados muestran la existencia de una relación compleja y multifacética entre el Trabajo Social y la despoblación rural. Las particularidades que perciben los/las profesionales se observan sobre todo en la visión que de ellos/as tienen las personas usuarias, como capaces de informar y solucionarlo todo. Esto lleva a los/las profesionales a sentirse comprometidas/os en ofrecer respuestas que exceden sus conocimientos y también sus funciones. Esto les coloca en situaciones de aprendizaje permanente y adaptación continua, fortaleciendo su capacidad resiliente. Sin embargo, puede ser causante de grandes niveles de preocupación y desgaste. Desde las instituciones deben de hacerse esfuerzos para abrir canales formativos formales y no únicamente de intercambio informal de información entre los/las profesionales. Y también para promover recursos en estas zonas geográficas que hagan posible no depender del Trabajo Social para resolver temas que no son competencia de la profesión. Los resultados han permitido conocer la situación de estos/estas profesionales, a la vez que permiten colaborar en el diseño e implementación de políticas y programas más eficaces al atender a las particularidades que según las profesionales existen en su labor en estas zonas. </w:t>
      </w:r>
    </w:p>
    <w:p w14:paraId="17E88D9F" w14:textId="77777777" w:rsidR="00FE3791" w:rsidRPr="00FE3791" w:rsidRDefault="00FE3791" w:rsidP="00FE3791">
      <w:pPr>
        <w:spacing w:after="120" w:line="240" w:lineRule="auto"/>
        <w:jc w:val="both"/>
        <w:rPr>
          <w:rFonts w:cstheme="minorHAnsi"/>
        </w:rPr>
      </w:pPr>
      <w:r w:rsidRPr="00FE3791">
        <w:rPr>
          <w:rFonts w:cstheme="minorHAnsi"/>
          <w:b/>
        </w:rPr>
        <w:t>Palabras clave:</w:t>
      </w:r>
      <w:r w:rsidRPr="00FE3791">
        <w:rPr>
          <w:rFonts w:cstheme="minorHAnsi"/>
        </w:rPr>
        <w:t xml:space="preserve"> Trabajo Social, rural, despoblación, profesionales, particularidades.</w:t>
      </w:r>
    </w:p>
    <w:p w14:paraId="174EC3E1" w14:textId="77777777" w:rsidR="00671D91" w:rsidRDefault="00671D91" w:rsidP="00FE3791">
      <w:pPr>
        <w:pStyle w:val="v1elementtoproof"/>
        <w:shd w:val="clear" w:color="auto" w:fill="FFFFFF"/>
        <w:spacing w:before="0" w:beforeAutospacing="0" w:after="120" w:afterAutospacing="0"/>
        <w:jc w:val="both"/>
        <w:rPr>
          <w:rFonts w:asciiTheme="minorHAnsi" w:hAnsiTheme="minorHAnsi" w:cstheme="minorHAnsi"/>
          <w:b/>
          <w:bCs/>
          <w:color w:val="000000"/>
          <w:sz w:val="22"/>
          <w:szCs w:val="22"/>
        </w:rPr>
      </w:pPr>
    </w:p>
    <w:p w14:paraId="516AE994" w14:textId="77777777" w:rsidR="00671D91" w:rsidRDefault="00671D91" w:rsidP="00FE3791">
      <w:pPr>
        <w:pStyle w:val="v1elementtoproof"/>
        <w:shd w:val="clear" w:color="auto" w:fill="FFFFFF"/>
        <w:spacing w:before="0" w:beforeAutospacing="0" w:after="120" w:afterAutospacing="0"/>
        <w:jc w:val="both"/>
        <w:rPr>
          <w:rFonts w:asciiTheme="minorHAnsi" w:hAnsiTheme="minorHAnsi" w:cstheme="minorHAnsi"/>
          <w:b/>
          <w:bCs/>
          <w:color w:val="000000"/>
          <w:sz w:val="22"/>
          <w:szCs w:val="22"/>
        </w:rPr>
      </w:pPr>
    </w:p>
    <w:p w14:paraId="5D9543D1" w14:textId="43BD54CC" w:rsidR="00FE3791" w:rsidRPr="00FE3791" w:rsidRDefault="00FE3791" w:rsidP="00671D91">
      <w:pPr>
        <w:pStyle w:val="v1elementtoproof"/>
        <w:shd w:val="clear" w:color="auto" w:fill="DEEAF6" w:themeFill="accent5" w:themeFillTint="33"/>
        <w:spacing w:before="0" w:beforeAutospacing="0" w:after="120" w:afterAutospacing="0"/>
        <w:jc w:val="both"/>
        <w:rPr>
          <w:rFonts w:asciiTheme="minorHAnsi" w:hAnsiTheme="minorHAnsi" w:cstheme="minorHAnsi"/>
          <w:b/>
          <w:bCs/>
          <w:color w:val="FF0000"/>
          <w:sz w:val="22"/>
          <w:szCs w:val="22"/>
        </w:rPr>
      </w:pPr>
      <w:r w:rsidRPr="00FE3791">
        <w:rPr>
          <w:rFonts w:asciiTheme="minorHAnsi" w:hAnsiTheme="minorHAnsi" w:cstheme="minorHAnsi"/>
          <w:b/>
          <w:bCs/>
          <w:color w:val="000000"/>
          <w:sz w:val="22"/>
          <w:szCs w:val="22"/>
        </w:rPr>
        <w:t>Título</w:t>
      </w:r>
      <w:r w:rsidRPr="00FE3791">
        <w:rPr>
          <w:rFonts w:asciiTheme="minorHAnsi" w:hAnsiTheme="minorHAnsi" w:cstheme="minorHAnsi"/>
          <w:color w:val="000000"/>
          <w:sz w:val="22"/>
          <w:szCs w:val="22"/>
        </w:rPr>
        <w:t xml:space="preserve">: </w:t>
      </w:r>
      <w:r w:rsidRPr="00FE3791">
        <w:rPr>
          <w:rFonts w:asciiTheme="minorHAnsi" w:hAnsiTheme="minorHAnsi" w:cstheme="minorHAnsi"/>
          <w:b/>
          <w:color w:val="000000"/>
          <w:sz w:val="22"/>
          <w:szCs w:val="22"/>
        </w:rPr>
        <w:t>Impacto del Apoyo Social Virtual en el Bienestar y Depresión Postparto durante la Transición a la Maternidad.</w:t>
      </w:r>
    </w:p>
    <w:p w14:paraId="79A12935" w14:textId="373BDEAE" w:rsidR="00FE3791" w:rsidRPr="00FE3791" w:rsidRDefault="00FE3791" w:rsidP="00FE3791">
      <w:pPr>
        <w:spacing w:after="120" w:line="240" w:lineRule="auto"/>
        <w:jc w:val="both"/>
        <w:rPr>
          <w:rFonts w:eastAsia="Times New Roman" w:cstheme="minorHAnsi"/>
          <w:b/>
          <w:lang w:eastAsia="es-ES"/>
        </w:rPr>
      </w:pPr>
      <w:r w:rsidRPr="00FE3791">
        <w:rPr>
          <w:rFonts w:eastAsia="Times New Roman" w:cstheme="minorHAnsi"/>
          <w:b/>
          <w:lang w:eastAsia="es-ES"/>
        </w:rPr>
        <w:t>Nombre y afiliación de autores/as:</w:t>
      </w:r>
    </w:p>
    <w:p w14:paraId="36B6DC87" w14:textId="000D6EE1" w:rsidR="00FE3791" w:rsidRPr="00671D91" w:rsidRDefault="00FE3791" w:rsidP="00671D91">
      <w:pPr>
        <w:pStyle w:val="Prrafodelista"/>
        <w:numPr>
          <w:ilvl w:val="0"/>
          <w:numId w:val="13"/>
        </w:numPr>
        <w:shd w:val="clear" w:color="auto" w:fill="FFFFFF"/>
        <w:spacing w:after="120" w:line="240" w:lineRule="auto"/>
        <w:rPr>
          <w:rFonts w:eastAsia="Times New Roman" w:cstheme="minorHAnsi"/>
          <w:color w:val="000000"/>
          <w:lang w:eastAsia="es-ES"/>
        </w:rPr>
      </w:pPr>
      <w:r w:rsidRPr="00671D91">
        <w:rPr>
          <w:rFonts w:eastAsia="Times New Roman" w:cstheme="minorHAnsi"/>
          <w:color w:val="000000"/>
          <w:lang w:eastAsia="es-ES"/>
        </w:rPr>
        <w:t xml:space="preserve">Dana </w:t>
      </w:r>
      <w:proofErr w:type="spellStart"/>
      <w:r w:rsidRPr="00671D91">
        <w:rPr>
          <w:rFonts w:eastAsia="Times New Roman" w:cstheme="minorHAnsi"/>
          <w:color w:val="000000"/>
          <w:lang w:eastAsia="es-ES"/>
        </w:rPr>
        <w:t>Achituv</w:t>
      </w:r>
      <w:proofErr w:type="spellEnd"/>
      <w:r w:rsidRPr="00671D91">
        <w:rPr>
          <w:rFonts w:eastAsia="Times New Roman" w:cstheme="minorHAnsi"/>
          <w:color w:val="000000"/>
          <w:lang w:eastAsia="es-ES"/>
        </w:rPr>
        <w:t xml:space="preserve">. </w:t>
      </w:r>
      <w:proofErr w:type="spellStart"/>
      <w:r w:rsidRPr="00671D91">
        <w:rPr>
          <w:rFonts w:eastAsia="Times New Roman" w:cstheme="minorHAnsi"/>
          <w:color w:val="000000"/>
          <w:lang w:eastAsia="es-ES"/>
        </w:rPr>
        <w:t>Master's</w:t>
      </w:r>
      <w:proofErr w:type="spellEnd"/>
      <w:r w:rsidRPr="00671D91">
        <w:rPr>
          <w:rFonts w:eastAsia="Times New Roman" w:cstheme="minorHAnsi"/>
          <w:color w:val="000000"/>
          <w:lang w:eastAsia="es-ES"/>
        </w:rPr>
        <w:t xml:space="preserve"> </w:t>
      </w:r>
      <w:proofErr w:type="spellStart"/>
      <w:r w:rsidRPr="00671D91">
        <w:rPr>
          <w:rFonts w:eastAsia="Times New Roman" w:cstheme="minorHAnsi"/>
          <w:color w:val="000000"/>
          <w:lang w:eastAsia="es-ES"/>
        </w:rPr>
        <w:t>student</w:t>
      </w:r>
      <w:proofErr w:type="spellEnd"/>
      <w:r w:rsidRPr="00671D91">
        <w:rPr>
          <w:rFonts w:eastAsia="Times New Roman" w:cstheme="minorHAnsi"/>
          <w:color w:val="000000"/>
          <w:lang w:eastAsia="es-ES"/>
        </w:rPr>
        <w:t xml:space="preserve"> at Bob </w:t>
      </w:r>
      <w:proofErr w:type="spellStart"/>
      <w:r w:rsidRPr="00671D91">
        <w:rPr>
          <w:rFonts w:eastAsia="Times New Roman" w:cstheme="minorHAnsi"/>
          <w:color w:val="000000"/>
          <w:lang w:eastAsia="es-ES"/>
        </w:rPr>
        <w:t>Shapell</w:t>
      </w:r>
      <w:proofErr w:type="spellEnd"/>
      <w:r w:rsidRPr="00671D91">
        <w:rPr>
          <w:rFonts w:eastAsia="Times New Roman" w:cstheme="minorHAnsi"/>
          <w:color w:val="000000"/>
          <w:lang w:eastAsia="es-ES"/>
        </w:rPr>
        <w:t xml:space="preserve"> </w:t>
      </w:r>
      <w:proofErr w:type="spellStart"/>
      <w:r w:rsidRPr="00671D91">
        <w:rPr>
          <w:rFonts w:eastAsia="Times New Roman" w:cstheme="minorHAnsi"/>
          <w:color w:val="000000"/>
          <w:lang w:eastAsia="es-ES"/>
        </w:rPr>
        <w:t>School</w:t>
      </w:r>
      <w:proofErr w:type="spellEnd"/>
      <w:r w:rsidRPr="00671D91">
        <w:rPr>
          <w:rFonts w:eastAsia="Times New Roman" w:cstheme="minorHAnsi"/>
          <w:color w:val="000000"/>
          <w:lang w:eastAsia="es-ES"/>
        </w:rPr>
        <w:t xml:space="preserve"> </w:t>
      </w:r>
      <w:proofErr w:type="spellStart"/>
      <w:r w:rsidRPr="00671D91">
        <w:rPr>
          <w:rFonts w:eastAsia="Times New Roman" w:cstheme="minorHAnsi"/>
          <w:color w:val="000000"/>
          <w:lang w:eastAsia="es-ES"/>
        </w:rPr>
        <w:t>of</w:t>
      </w:r>
      <w:proofErr w:type="spellEnd"/>
      <w:r w:rsidRPr="00671D91">
        <w:rPr>
          <w:rFonts w:eastAsia="Times New Roman" w:cstheme="minorHAnsi"/>
          <w:color w:val="000000"/>
          <w:lang w:eastAsia="es-ES"/>
        </w:rPr>
        <w:t xml:space="preserve"> Social </w:t>
      </w:r>
      <w:proofErr w:type="spellStart"/>
      <w:r w:rsidRPr="00671D91">
        <w:rPr>
          <w:rFonts w:eastAsia="Times New Roman" w:cstheme="minorHAnsi"/>
          <w:color w:val="000000"/>
          <w:lang w:eastAsia="es-ES"/>
        </w:rPr>
        <w:t>Work</w:t>
      </w:r>
      <w:proofErr w:type="spellEnd"/>
      <w:r w:rsidRPr="00671D91">
        <w:rPr>
          <w:rFonts w:eastAsia="Times New Roman" w:cstheme="minorHAnsi"/>
          <w:color w:val="000000"/>
          <w:lang w:eastAsia="es-ES"/>
        </w:rPr>
        <w:t xml:space="preserve"> at Tel Aviv </w:t>
      </w:r>
      <w:proofErr w:type="spellStart"/>
      <w:r w:rsidRPr="00671D91">
        <w:rPr>
          <w:rFonts w:eastAsia="Times New Roman" w:cstheme="minorHAnsi"/>
          <w:color w:val="000000"/>
          <w:lang w:eastAsia="es-ES"/>
        </w:rPr>
        <w:t>University</w:t>
      </w:r>
      <w:proofErr w:type="spellEnd"/>
    </w:p>
    <w:p w14:paraId="2036EDB4" w14:textId="0EDA9201" w:rsidR="00FE3791" w:rsidRPr="00FE3791" w:rsidRDefault="00FE3791" w:rsidP="00FE3791">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FE3791">
        <w:rPr>
          <w:rFonts w:asciiTheme="minorHAnsi" w:hAnsiTheme="minorHAnsi" w:cstheme="minorHAnsi"/>
          <w:sz w:val="22"/>
          <w:szCs w:val="22"/>
        </w:rPr>
        <w:br/>
      </w:r>
      <w:r w:rsidRPr="00FE3791">
        <w:rPr>
          <w:rFonts w:asciiTheme="minorHAnsi" w:hAnsiTheme="minorHAnsi" w:cstheme="minorHAnsi"/>
          <w:b/>
          <w:bCs/>
          <w:sz w:val="22"/>
          <w:szCs w:val="22"/>
        </w:rPr>
        <w:t>Resumen</w:t>
      </w:r>
    </w:p>
    <w:p w14:paraId="08DF3450" w14:textId="4090C2A1" w:rsidR="00FE3791" w:rsidRPr="00FE3791" w:rsidRDefault="00FE3791" w:rsidP="00FE3791">
      <w:pPr>
        <w:shd w:val="clear" w:color="auto" w:fill="FFFFFF"/>
        <w:spacing w:after="120" w:line="240" w:lineRule="auto"/>
        <w:jc w:val="both"/>
        <w:rPr>
          <w:rFonts w:eastAsia="Times New Roman" w:cstheme="minorHAnsi"/>
          <w:color w:val="000000"/>
          <w:lang w:eastAsia="es-ES"/>
        </w:rPr>
      </w:pPr>
      <w:r w:rsidRPr="00FE3791">
        <w:rPr>
          <w:rFonts w:eastAsia="Times New Roman" w:cstheme="minorHAnsi"/>
          <w:b/>
          <w:bCs/>
          <w:color w:val="000000"/>
          <w:lang w:eastAsia="es-ES"/>
        </w:rPr>
        <w:t>Introducción</w:t>
      </w:r>
      <w:r w:rsidR="00671D91">
        <w:rPr>
          <w:rFonts w:eastAsia="Times New Roman" w:cstheme="minorHAnsi"/>
          <w:color w:val="000000"/>
          <w:lang w:eastAsia="es-ES"/>
        </w:rPr>
        <w:t xml:space="preserve">. </w:t>
      </w:r>
      <w:r w:rsidRPr="00FE3791">
        <w:rPr>
          <w:rFonts w:eastAsia="Times New Roman" w:cstheme="minorHAnsi"/>
          <w:color w:val="000000"/>
          <w:lang w:eastAsia="es-ES"/>
        </w:rPr>
        <w:t xml:space="preserve">La transición a la maternidad implica un cambio significativo que puede generar incertidumbre y vulnerabilidad en las mujeres, quienes son especialmente propensas a la depresión posparto (DPP) y a la </w:t>
      </w:r>
      <w:r w:rsidRPr="00FE3791">
        <w:rPr>
          <w:rFonts w:eastAsia="Times New Roman" w:cstheme="minorHAnsi"/>
          <w:color w:val="000000"/>
          <w:lang w:eastAsia="es-ES"/>
        </w:rPr>
        <w:lastRenderedPageBreak/>
        <w:t>ansiedad. Tradicionalmente, las comunidades presenciales brindaban apoyo durante este proceso, pero las redes sociales han emergido como un recurso valioso en esta era digital. Este estudio examina cómo las comunidades virtuales, junto con el apoyo social convencional, impactan sobre el bienestar y la DPP durante la transición a la maternidad.</w:t>
      </w:r>
    </w:p>
    <w:p w14:paraId="2B02769D" w14:textId="5F1432A8" w:rsidR="00FE3791" w:rsidRPr="00FE3791" w:rsidRDefault="00FE3791" w:rsidP="00FE3791">
      <w:pPr>
        <w:shd w:val="clear" w:color="auto" w:fill="FFFFFF"/>
        <w:spacing w:after="120" w:line="240" w:lineRule="auto"/>
        <w:jc w:val="both"/>
        <w:rPr>
          <w:rFonts w:eastAsia="Times New Roman" w:cstheme="minorHAnsi"/>
          <w:color w:val="000000"/>
          <w:lang w:eastAsia="es-ES"/>
        </w:rPr>
      </w:pPr>
      <w:r w:rsidRPr="00FE3791">
        <w:rPr>
          <w:rFonts w:eastAsia="Times New Roman" w:cstheme="minorHAnsi"/>
          <w:b/>
          <w:bCs/>
          <w:color w:val="000000"/>
          <w:lang w:eastAsia="es-ES"/>
        </w:rPr>
        <w:t>Procedimiento y Método</w:t>
      </w:r>
      <w:r w:rsidR="00671D91">
        <w:rPr>
          <w:rFonts w:eastAsia="Times New Roman" w:cstheme="minorHAnsi"/>
          <w:b/>
          <w:bCs/>
          <w:color w:val="000000"/>
          <w:lang w:eastAsia="es-ES"/>
        </w:rPr>
        <w:t xml:space="preserve">. </w:t>
      </w:r>
      <w:r w:rsidRPr="00FE3791">
        <w:rPr>
          <w:rFonts w:eastAsia="Times New Roman" w:cstheme="minorHAnsi"/>
          <w:color w:val="000000"/>
          <w:lang w:eastAsia="es-ES"/>
        </w:rPr>
        <w:t>Participaron 107 mujeres israelíes primerizas que han dado a luz recientemente y que participan en comunidades virtuales relacionadas con la maternidad como Facebook, foros en línea y grupos de WhatsApp.</w:t>
      </w:r>
      <w:r w:rsidR="00671D91">
        <w:rPr>
          <w:rFonts w:eastAsia="Times New Roman" w:cstheme="minorHAnsi"/>
          <w:color w:val="000000"/>
          <w:lang w:eastAsia="es-ES"/>
        </w:rPr>
        <w:t xml:space="preserve"> </w:t>
      </w:r>
      <w:r w:rsidRPr="00FE3791">
        <w:rPr>
          <w:rFonts w:eastAsia="Times New Roman" w:cstheme="minorHAnsi"/>
          <w:color w:val="000000"/>
          <w:lang w:eastAsia="es-ES"/>
        </w:rPr>
        <w:t xml:space="preserve">Se utilizó un muestreo con la técnica de bola de nieve y los </w:t>
      </w:r>
      <w:proofErr w:type="spellStart"/>
      <w:proofErr w:type="gramStart"/>
      <w:r w:rsidRPr="00FE3791">
        <w:rPr>
          <w:rFonts w:eastAsia="Times New Roman" w:cstheme="minorHAnsi"/>
          <w:color w:val="000000"/>
          <w:lang w:eastAsia="es-ES"/>
        </w:rPr>
        <w:t>cuestionarios,previamente</w:t>
      </w:r>
      <w:proofErr w:type="spellEnd"/>
      <w:proofErr w:type="gramEnd"/>
      <w:r w:rsidRPr="00FE3791">
        <w:rPr>
          <w:rFonts w:eastAsia="Times New Roman" w:cstheme="minorHAnsi"/>
          <w:color w:val="000000"/>
          <w:lang w:eastAsia="es-ES"/>
        </w:rPr>
        <w:t xml:space="preserve"> creados con la plataforma </w:t>
      </w:r>
      <w:proofErr w:type="spellStart"/>
      <w:r w:rsidRPr="00FE3791">
        <w:rPr>
          <w:rFonts w:eastAsia="Times New Roman" w:cstheme="minorHAnsi"/>
          <w:color w:val="000000"/>
          <w:lang w:eastAsia="es-ES"/>
        </w:rPr>
        <w:t>Qualtrics</w:t>
      </w:r>
      <w:proofErr w:type="spellEnd"/>
      <w:r w:rsidRPr="00FE3791">
        <w:rPr>
          <w:rFonts w:eastAsia="Times New Roman" w:cstheme="minorHAnsi"/>
          <w:color w:val="000000"/>
          <w:lang w:eastAsia="es-ES"/>
        </w:rPr>
        <w:t>, se administraron online. Todas las escalas utilizadas alcanzaron una elevada fiabilidad (α= .78 - α= .93). Se realizaron correlaciones y pruebas de diferencia de medias para analizar la relación entre el apoyo social, el bienestar y la DPP, así como para determinar si existen diferencias estadísticamente significativas entre mamás solteras y con pareja.</w:t>
      </w:r>
    </w:p>
    <w:p w14:paraId="7DDFE6F9" w14:textId="3C1334A8" w:rsidR="00FE3791" w:rsidRPr="00FE3791" w:rsidRDefault="00FE3791" w:rsidP="00FE3791">
      <w:pPr>
        <w:shd w:val="clear" w:color="auto" w:fill="FFFFFF"/>
        <w:spacing w:after="120" w:line="240" w:lineRule="auto"/>
        <w:jc w:val="both"/>
        <w:rPr>
          <w:rFonts w:eastAsia="Times New Roman" w:cstheme="minorHAnsi"/>
          <w:color w:val="000000"/>
          <w:lang w:eastAsia="es-ES"/>
        </w:rPr>
      </w:pPr>
      <w:r w:rsidRPr="00FE3791">
        <w:rPr>
          <w:rFonts w:eastAsia="Times New Roman" w:cstheme="minorHAnsi"/>
          <w:b/>
          <w:bCs/>
          <w:color w:val="000000"/>
          <w:lang w:eastAsia="es-ES"/>
        </w:rPr>
        <w:t>Resultados</w:t>
      </w:r>
      <w:r w:rsidR="00671D91">
        <w:rPr>
          <w:rFonts w:eastAsia="Times New Roman" w:cstheme="minorHAnsi"/>
          <w:color w:val="000000"/>
          <w:lang w:eastAsia="es-ES"/>
        </w:rPr>
        <w:t xml:space="preserve">. </w:t>
      </w:r>
      <w:r w:rsidRPr="00FE3791">
        <w:rPr>
          <w:rFonts w:eastAsia="Times New Roman" w:cstheme="minorHAnsi"/>
          <w:color w:val="000000"/>
          <w:lang w:eastAsia="es-ES"/>
        </w:rPr>
        <w:t>S</w:t>
      </w:r>
      <w:r w:rsidRPr="00FE3791">
        <w:rPr>
          <w:rFonts w:eastAsia="Times New Roman" w:cstheme="minorHAnsi"/>
          <w:color w:val="000000"/>
          <w:shd w:val="clear" w:color="auto" w:fill="FFFFFF"/>
          <w:lang w:eastAsia="es-ES"/>
        </w:rPr>
        <w:t>e encontró una correlación significativa entre el apoyo social, el bienestar y el PPD. Un mayor apoyo social se asoció positivamente con un mayor bienestar (r= .</w:t>
      </w:r>
      <w:proofErr w:type="gramStart"/>
      <w:r w:rsidRPr="00FE3791">
        <w:rPr>
          <w:rFonts w:eastAsia="Times New Roman" w:cstheme="minorHAnsi"/>
          <w:color w:val="000000"/>
          <w:shd w:val="clear" w:color="auto" w:fill="FFFFFF"/>
          <w:lang w:eastAsia="es-ES"/>
        </w:rPr>
        <w:t>60 ;</w:t>
      </w:r>
      <w:proofErr w:type="gramEnd"/>
      <w:r w:rsidRPr="00FE3791">
        <w:rPr>
          <w:rFonts w:eastAsia="Times New Roman" w:cstheme="minorHAnsi"/>
          <w:color w:val="000000"/>
          <w:shd w:val="clear" w:color="auto" w:fill="FFFFFF"/>
          <w:lang w:eastAsia="es-ES"/>
        </w:rPr>
        <w:t xml:space="preserve"> p&lt; .001) y negativamente con el PPD (r= -.40 ; p&lt; .001). El análisis de regresión confirma el buen ajuste del modelo de bienestar y apoyo social (β= .37; p&lt; .001) que explica el 33% de la varianza, y también del PPD y apoyo social (β= -.35; p&lt; .001) lo que explica el 15% de la varianza. El modelo no confirma los efectos del SOVC y la participación en VC sobre el bienestar y el PPD. Sorprendentemente no se encontraron diferencias entre mujeres solteras y casadas respecto a su DPP [</w:t>
      </w:r>
      <w:proofErr w:type="gramStart"/>
      <w:r w:rsidRPr="00FE3791">
        <w:rPr>
          <w:rFonts w:eastAsia="Times New Roman" w:cstheme="minorHAnsi"/>
          <w:color w:val="000000"/>
          <w:shd w:val="clear" w:color="auto" w:fill="FFFFFF"/>
          <w:lang w:eastAsia="es-ES"/>
        </w:rPr>
        <w:t>F(</w:t>
      </w:r>
      <w:proofErr w:type="gramEnd"/>
      <w:r w:rsidRPr="00FE3791">
        <w:rPr>
          <w:rFonts w:eastAsia="Times New Roman" w:cstheme="minorHAnsi"/>
          <w:color w:val="000000"/>
          <w:shd w:val="clear" w:color="auto" w:fill="FFFFFF"/>
          <w:lang w:eastAsia="es-ES"/>
        </w:rPr>
        <w:t>3,102)= 1.58 ; p&gt; .05] y su bienestar [t(104)= .44 ; p&gt; .05].</w:t>
      </w:r>
    </w:p>
    <w:p w14:paraId="3173794C" w14:textId="03489DCA" w:rsidR="00FE3791" w:rsidRPr="00FE3791" w:rsidRDefault="00FE3791" w:rsidP="00FE3791">
      <w:pPr>
        <w:shd w:val="clear" w:color="auto" w:fill="FFFFFF"/>
        <w:spacing w:after="120" w:line="240" w:lineRule="auto"/>
        <w:jc w:val="both"/>
        <w:rPr>
          <w:rFonts w:eastAsia="Times New Roman" w:cstheme="minorHAnsi"/>
          <w:color w:val="000000"/>
          <w:lang w:eastAsia="es-ES"/>
        </w:rPr>
      </w:pPr>
      <w:r w:rsidRPr="00FE3791">
        <w:rPr>
          <w:rFonts w:eastAsia="Times New Roman" w:cstheme="minorHAnsi"/>
          <w:b/>
          <w:bCs/>
          <w:color w:val="000000"/>
          <w:lang w:eastAsia="es-ES"/>
        </w:rPr>
        <w:t>Conclusiones</w:t>
      </w:r>
      <w:r w:rsidR="00671D91">
        <w:rPr>
          <w:rFonts w:eastAsia="Times New Roman" w:cstheme="minorHAnsi"/>
          <w:color w:val="000000"/>
          <w:lang w:eastAsia="es-ES"/>
        </w:rPr>
        <w:t xml:space="preserve">. </w:t>
      </w:r>
      <w:r w:rsidRPr="00FE3791">
        <w:rPr>
          <w:rFonts w:eastAsia="Times New Roman" w:cstheme="minorHAnsi"/>
          <w:color w:val="000000"/>
          <w:lang w:eastAsia="es-ES"/>
        </w:rPr>
        <w:t>Este estudio destaca el papel de la comunidad virtual en la vida de una mujer durante la transición a la maternidad, junto a sistemas no virtuales como su entorno inmediato y su familia. A pesar del creciente desarrollo tecnológico, las plataformas virtuales no satisfacen completamente las necesidades únicas de una nueva madre. El apoyo social del entorno inmediato y la familia es crucial para el afrontamiento psicológico durante esta transición.</w:t>
      </w:r>
    </w:p>
    <w:p w14:paraId="36011959" w14:textId="77777777" w:rsidR="00FE3791" w:rsidRPr="00FE3791" w:rsidRDefault="00FE3791" w:rsidP="00FE3791">
      <w:pPr>
        <w:shd w:val="clear" w:color="auto" w:fill="FFFFFF"/>
        <w:spacing w:after="120" w:line="240" w:lineRule="auto"/>
        <w:jc w:val="both"/>
        <w:rPr>
          <w:rFonts w:eastAsia="Times New Roman" w:cstheme="minorHAnsi"/>
          <w:color w:val="000000"/>
          <w:lang w:eastAsia="es-ES"/>
        </w:rPr>
      </w:pPr>
      <w:r w:rsidRPr="00FE3791">
        <w:rPr>
          <w:rFonts w:eastAsia="Times New Roman" w:cstheme="minorHAnsi"/>
          <w:color w:val="000000"/>
          <w:lang w:eastAsia="es-ES"/>
        </w:rPr>
        <w:t>Esta conclusión puede contribuir a la comprensión teórica de los sistemas presenciales que apoyan a las nuevas madres. Los terapeutas pueden utilizar plataformas virtuales para crear grupos de madres con necesidades similares, clasificadas por ubicación geográfica, fomentando interacciones regulares y alianzas sociales que contribuyan al bienestar y prevengan la depresión posparto.</w:t>
      </w:r>
    </w:p>
    <w:p w14:paraId="33AC7ECC" w14:textId="4558F1CA" w:rsidR="00FE3791" w:rsidRPr="00671D91" w:rsidRDefault="00FE3791" w:rsidP="00FE3791">
      <w:pPr>
        <w:shd w:val="clear" w:color="auto" w:fill="FFFFFF"/>
        <w:spacing w:after="120" w:line="240" w:lineRule="auto"/>
        <w:jc w:val="both"/>
        <w:rPr>
          <w:rFonts w:eastAsia="Times New Roman" w:cstheme="minorHAnsi"/>
          <w:color w:val="000000"/>
          <w:lang w:eastAsia="es-ES"/>
        </w:rPr>
      </w:pPr>
      <w:r w:rsidRPr="00FE3791">
        <w:rPr>
          <w:rFonts w:eastAsia="Times New Roman" w:cstheme="minorHAnsi"/>
          <w:color w:val="000000"/>
          <w:lang w:eastAsia="es-ES"/>
        </w:rPr>
        <w:t>Se realizarán investigaciones similares en Málaga para comparar las poblaciones de Israel y España, y determinar si las conclusiones se aplican a una cultura diferente.</w:t>
      </w:r>
    </w:p>
    <w:p w14:paraId="7B891BEB" w14:textId="77777777" w:rsidR="00FE3791" w:rsidRPr="00FE3791" w:rsidRDefault="00FE3791" w:rsidP="00FE3791">
      <w:pPr>
        <w:shd w:val="clear" w:color="auto" w:fill="FFFFFF"/>
        <w:spacing w:after="120" w:line="240" w:lineRule="auto"/>
        <w:jc w:val="both"/>
        <w:rPr>
          <w:rFonts w:eastAsia="Times New Roman" w:cstheme="minorHAnsi"/>
          <w:color w:val="000000"/>
          <w:lang w:eastAsia="es-ES"/>
        </w:rPr>
      </w:pPr>
      <w:r w:rsidRPr="00FE3791">
        <w:rPr>
          <w:rFonts w:eastAsia="Times New Roman" w:cstheme="minorHAnsi"/>
          <w:b/>
          <w:bCs/>
          <w:color w:val="000000"/>
          <w:lang w:eastAsia="es-ES"/>
        </w:rPr>
        <w:t>Palabras clave</w:t>
      </w:r>
      <w:r w:rsidRPr="00FE3791">
        <w:rPr>
          <w:rFonts w:eastAsia="Times New Roman" w:cstheme="minorHAnsi"/>
          <w:color w:val="000000"/>
          <w:lang w:eastAsia="es-ES"/>
        </w:rPr>
        <w:t xml:space="preserve">: </w:t>
      </w:r>
      <w:proofErr w:type="spellStart"/>
      <w:r w:rsidRPr="00FE3791">
        <w:rPr>
          <w:rFonts w:eastAsia="Times New Roman" w:cstheme="minorHAnsi"/>
          <w:color w:val="000000"/>
          <w:lang w:eastAsia="es-ES"/>
        </w:rPr>
        <w:t>postpartum</w:t>
      </w:r>
      <w:proofErr w:type="spellEnd"/>
      <w:r w:rsidRPr="00FE3791">
        <w:rPr>
          <w:rFonts w:eastAsia="Times New Roman" w:cstheme="minorHAnsi"/>
          <w:color w:val="000000"/>
          <w:lang w:eastAsia="es-ES"/>
        </w:rPr>
        <w:t xml:space="preserve"> </w:t>
      </w:r>
      <w:proofErr w:type="spellStart"/>
      <w:r w:rsidRPr="00FE3791">
        <w:rPr>
          <w:rFonts w:eastAsia="Times New Roman" w:cstheme="minorHAnsi"/>
          <w:color w:val="000000"/>
          <w:lang w:eastAsia="es-ES"/>
        </w:rPr>
        <w:t>depression</w:t>
      </w:r>
      <w:proofErr w:type="spellEnd"/>
      <w:r w:rsidRPr="00FE3791">
        <w:rPr>
          <w:rFonts w:eastAsia="Times New Roman" w:cstheme="minorHAnsi"/>
          <w:color w:val="000000"/>
          <w:lang w:eastAsia="es-ES"/>
        </w:rPr>
        <w:t xml:space="preserve">, social </w:t>
      </w:r>
      <w:proofErr w:type="spellStart"/>
      <w:r w:rsidRPr="00FE3791">
        <w:rPr>
          <w:rFonts w:eastAsia="Times New Roman" w:cstheme="minorHAnsi"/>
          <w:color w:val="000000"/>
          <w:lang w:eastAsia="es-ES"/>
        </w:rPr>
        <w:t>support</w:t>
      </w:r>
      <w:proofErr w:type="spellEnd"/>
      <w:r w:rsidRPr="00FE3791">
        <w:rPr>
          <w:rFonts w:eastAsia="Times New Roman" w:cstheme="minorHAnsi"/>
          <w:color w:val="000000"/>
          <w:lang w:eastAsia="es-ES"/>
        </w:rPr>
        <w:t xml:space="preserve">, virtual </w:t>
      </w:r>
      <w:proofErr w:type="spellStart"/>
      <w:r w:rsidRPr="00FE3791">
        <w:rPr>
          <w:rFonts w:eastAsia="Times New Roman" w:cstheme="minorHAnsi"/>
          <w:color w:val="000000"/>
          <w:lang w:eastAsia="es-ES"/>
        </w:rPr>
        <w:t>communities</w:t>
      </w:r>
      <w:proofErr w:type="spellEnd"/>
      <w:r w:rsidRPr="00FE3791">
        <w:rPr>
          <w:rFonts w:eastAsia="Times New Roman" w:cstheme="minorHAnsi"/>
          <w:color w:val="000000"/>
          <w:lang w:eastAsia="es-ES"/>
        </w:rPr>
        <w:t xml:space="preserve">, </w:t>
      </w:r>
      <w:proofErr w:type="spellStart"/>
      <w:r w:rsidRPr="00FE3791">
        <w:rPr>
          <w:rFonts w:eastAsia="Times New Roman" w:cstheme="minorHAnsi"/>
          <w:color w:val="000000"/>
          <w:lang w:eastAsia="es-ES"/>
        </w:rPr>
        <w:t>well-being</w:t>
      </w:r>
      <w:proofErr w:type="spellEnd"/>
      <w:r w:rsidRPr="00FE3791">
        <w:rPr>
          <w:rFonts w:eastAsia="Times New Roman" w:cstheme="minorHAnsi"/>
          <w:color w:val="000000"/>
          <w:lang w:eastAsia="es-ES"/>
        </w:rPr>
        <w:t xml:space="preserve">, </w:t>
      </w:r>
      <w:proofErr w:type="spellStart"/>
      <w:r w:rsidRPr="00FE3791">
        <w:rPr>
          <w:rFonts w:eastAsia="Times New Roman" w:cstheme="minorHAnsi"/>
          <w:color w:val="000000"/>
          <w:lang w:eastAsia="es-ES"/>
        </w:rPr>
        <w:t>transition</w:t>
      </w:r>
      <w:proofErr w:type="spellEnd"/>
      <w:r w:rsidRPr="00FE3791">
        <w:rPr>
          <w:rFonts w:eastAsia="Times New Roman" w:cstheme="minorHAnsi"/>
          <w:color w:val="000000"/>
          <w:lang w:eastAsia="es-ES"/>
        </w:rPr>
        <w:t xml:space="preserve"> </w:t>
      </w:r>
      <w:proofErr w:type="spellStart"/>
      <w:r w:rsidRPr="00FE3791">
        <w:rPr>
          <w:rFonts w:eastAsia="Times New Roman" w:cstheme="minorHAnsi"/>
          <w:color w:val="000000"/>
          <w:lang w:eastAsia="es-ES"/>
        </w:rPr>
        <w:t>to</w:t>
      </w:r>
      <w:proofErr w:type="spellEnd"/>
      <w:r w:rsidRPr="00FE3791">
        <w:rPr>
          <w:rFonts w:eastAsia="Times New Roman" w:cstheme="minorHAnsi"/>
          <w:color w:val="000000"/>
          <w:lang w:eastAsia="es-ES"/>
        </w:rPr>
        <w:t xml:space="preserve"> </w:t>
      </w:r>
      <w:proofErr w:type="spellStart"/>
      <w:r w:rsidRPr="00FE3791">
        <w:rPr>
          <w:rFonts w:eastAsia="Times New Roman" w:cstheme="minorHAnsi"/>
          <w:color w:val="000000"/>
          <w:lang w:eastAsia="es-ES"/>
        </w:rPr>
        <w:t>motherhood</w:t>
      </w:r>
      <w:proofErr w:type="spellEnd"/>
      <w:r w:rsidRPr="00FE3791">
        <w:rPr>
          <w:rFonts w:eastAsia="Times New Roman" w:cstheme="minorHAnsi"/>
          <w:color w:val="000000"/>
          <w:lang w:eastAsia="es-ES"/>
        </w:rPr>
        <w:t>.</w:t>
      </w:r>
    </w:p>
    <w:p w14:paraId="752CA8DA" w14:textId="77777777" w:rsidR="00671D91" w:rsidRDefault="00671D91" w:rsidP="00FE3791">
      <w:pPr>
        <w:pStyle w:val="Ttulo1"/>
        <w:spacing w:before="0" w:after="120" w:line="240" w:lineRule="auto"/>
        <w:rPr>
          <w:rFonts w:asciiTheme="minorHAnsi" w:hAnsiTheme="minorHAnsi" w:cstheme="minorHAnsi"/>
          <w:sz w:val="22"/>
          <w:szCs w:val="22"/>
        </w:rPr>
      </w:pPr>
      <w:bookmarkStart w:id="1" w:name="_Hlk161429850"/>
    </w:p>
    <w:p w14:paraId="491FA1CC" w14:textId="47173FE5" w:rsidR="00FE3791" w:rsidRPr="00671D91" w:rsidRDefault="00671D91" w:rsidP="00671D91">
      <w:pPr>
        <w:pStyle w:val="Ttulo1"/>
        <w:shd w:val="clear" w:color="auto" w:fill="DEEAF6" w:themeFill="accent5" w:themeFillTint="33"/>
        <w:spacing w:before="0" w:after="120" w:line="240" w:lineRule="auto"/>
        <w:rPr>
          <w:rFonts w:asciiTheme="minorHAnsi" w:hAnsiTheme="minorHAnsi" w:cstheme="minorHAnsi"/>
          <w:b/>
          <w:color w:val="auto"/>
          <w:sz w:val="22"/>
          <w:szCs w:val="22"/>
        </w:rPr>
      </w:pPr>
      <w:r w:rsidRPr="00671D91">
        <w:rPr>
          <w:rFonts w:asciiTheme="minorHAnsi" w:hAnsiTheme="minorHAnsi" w:cstheme="minorHAnsi"/>
          <w:b/>
          <w:color w:val="auto"/>
          <w:sz w:val="22"/>
          <w:szCs w:val="22"/>
        </w:rPr>
        <w:t>T</w:t>
      </w:r>
      <w:r w:rsidR="00FE3791" w:rsidRPr="00671D91">
        <w:rPr>
          <w:rFonts w:asciiTheme="minorHAnsi" w:hAnsiTheme="minorHAnsi" w:cstheme="minorHAnsi"/>
          <w:b/>
          <w:color w:val="auto"/>
          <w:sz w:val="22"/>
          <w:szCs w:val="22"/>
        </w:rPr>
        <w:t>ítulo</w:t>
      </w:r>
      <w:r>
        <w:rPr>
          <w:rFonts w:asciiTheme="minorHAnsi" w:hAnsiTheme="minorHAnsi" w:cstheme="minorHAnsi"/>
          <w:b/>
          <w:color w:val="auto"/>
          <w:sz w:val="22"/>
          <w:szCs w:val="22"/>
        </w:rPr>
        <w:t>: Inclusión de estudiantes con necesidades específicas en la educación superior: un caso de éxito en el área de Trabajo Social</w:t>
      </w:r>
      <w:bookmarkEnd w:id="1"/>
    </w:p>
    <w:p w14:paraId="500CCA72" w14:textId="72A36BB1" w:rsidR="00FE3791" w:rsidRPr="00671D91" w:rsidRDefault="00FE3791" w:rsidP="00671D91">
      <w:pPr>
        <w:spacing w:after="120" w:line="240" w:lineRule="auto"/>
        <w:jc w:val="both"/>
        <w:rPr>
          <w:rFonts w:eastAsia="Times New Roman" w:cstheme="minorHAnsi"/>
          <w:b/>
          <w:lang w:eastAsia="es-ES"/>
        </w:rPr>
      </w:pPr>
      <w:r w:rsidRPr="00671D91">
        <w:rPr>
          <w:rFonts w:eastAsia="Times New Roman" w:cstheme="minorHAnsi"/>
          <w:b/>
          <w:lang w:eastAsia="es-ES"/>
        </w:rPr>
        <w:t>Nombre y afiliación de autores/as:</w:t>
      </w:r>
    </w:p>
    <w:p w14:paraId="15BF663C" w14:textId="77777777" w:rsidR="00FE3791" w:rsidRPr="00671D91" w:rsidRDefault="00FE3791" w:rsidP="00671D91">
      <w:pPr>
        <w:pStyle w:val="Prrafodelista"/>
        <w:numPr>
          <w:ilvl w:val="0"/>
          <w:numId w:val="13"/>
        </w:numPr>
        <w:spacing w:after="120" w:line="240" w:lineRule="auto"/>
        <w:rPr>
          <w:rFonts w:cstheme="minorHAnsi"/>
          <w:bCs/>
          <w:lang w:val="pt-PT"/>
        </w:rPr>
      </w:pPr>
      <w:r w:rsidRPr="00671D91">
        <w:rPr>
          <w:rFonts w:cstheme="minorHAnsi"/>
          <w:bCs/>
          <w:lang w:val="pt-PT"/>
        </w:rPr>
        <w:t>Emília Martins [1]</w:t>
      </w:r>
    </w:p>
    <w:p w14:paraId="6AC1D812" w14:textId="77777777" w:rsidR="00FE3791" w:rsidRPr="00671D91" w:rsidRDefault="00FE3791" w:rsidP="00671D91">
      <w:pPr>
        <w:pStyle w:val="Prrafodelista"/>
        <w:numPr>
          <w:ilvl w:val="0"/>
          <w:numId w:val="13"/>
        </w:numPr>
        <w:spacing w:after="120" w:line="240" w:lineRule="auto"/>
        <w:rPr>
          <w:rFonts w:cstheme="minorHAnsi"/>
          <w:bCs/>
          <w:lang w:val="pt-PT"/>
        </w:rPr>
      </w:pPr>
      <w:r w:rsidRPr="00671D91">
        <w:rPr>
          <w:rFonts w:cstheme="minorHAnsi"/>
          <w:bCs/>
          <w:lang w:val="pt-PT"/>
        </w:rPr>
        <w:t xml:space="preserve">Laura Gomes [2] </w:t>
      </w:r>
    </w:p>
    <w:p w14:paraId="298B274C" w14:textId="77777777" w:rsidR="00FE3791" w:rsidRPr="00671D91" w:rsidRDefault="00FE3791" w:rsidP="00671D91">
      <w:pPr>
        <w:pStyle w:val="Prrafodelista"/>
        <w:numPr>
          <w:ilvl w:val="0"/>
          <w:numId w:val="13"/>
        </w:numPr>
        <w:spacing w:after="120" w:line="240" w:lineRule="auto"/>
        <w:rPr>
          <w:rFonts w:cstheme="minorHAnsi"/>
          <w:bCs/>
          <w:lang w:val="pt-PT"/>
        </w:rPr>
      </w:pPr>
      <w:r w:rsidRPr="00671D91">
        <w:rPr>
          <w:rFonts w:cstheme="minorHAnsi"/>
          <w:bCs/>
          <w:lang w:val="pt-PT"/>
        </w:rPr>
        <w:t xml:space="preserve">Vera Silva [3] </w:t>
      </w:r>
    </w:p>
    <w:p w14:paraId="5A6F52A5" w14:textId="77777777" w:rsidR="00FE3791" w:rsidRPr="00671D91" w:rsidRDefault="00FE3791" w:rsidP="00671D91">
      <w:pPr>
        <w:pStyle w:val="Prrafodelista"/>
        <w:numPr>
          <w:ilvl w:val="0"/>
          <w:numId w:val="13"/>
        </w:numPr>
        <w:spacing w:after="120" w:line="240" w:lineRule="auto"/>
        <w:rPr>
          <w:rFonts w:cstheme="minorHAnsi"/>
          <w:bCs/>
          <w:lang w:val="pt-PT"/>
        </w:rPr>
      </w:pPr>
      <w:r w:rsidRPr="00671D91">
        <w:rPr>
          <w:rFonts w:cstheme="minorHAnsi"/>
          <w:bCs/>
          <w:lang w:val="pt-PT"/>
        </w:rPr>
        <w:t xml:space="preserve">Francisco Mendes [4] </w:t>
      </w:r>
    </w:p>
    <w:p w14:paraId="7BC25B14" w14:textId="77777777" w:rsidR="00FE3791" w:rsidRPr="00671D91" w:rsidRDefault="00FE3791" w:rsidP="00671D91">
      <w:pPr>
        <w:pStyle w:val="Prrafodelista"/>
        <w:numPr>
          <w:ilvl w:val="0"/>
          <w:numId w:val="13"/>
        </w:numPr>
        <w:spacing w:after="120" w:line="240" w:lineRule="auto"/>
        <w:rPr>
          <w:rFonts w:cstheme="minorHAnsi"/>
          <w:bCs/>
          <w:lang w:val="pt-PT"/>
        </w:rPr>
      </w:pPr>
      <w:r w:rsidRPr="00671D91">
        <w:rPr>
          <w:rFonts w:cstheme="minorHAnsi"/>
          <w:bCs/>
          <w:lang w:val="pt-PT"/>
        </w:rPr>
        <w:t>Rosina Fernandes [5]</w:t>
      </w:r>
    </w:p>
    <w:p w14:paraId="6A2D17FB" w14:textId="77777777" w:rsidR="00FE3791" w:rsidRPr="00FE3791" w:rsidRDefault="00FE3791" w:rsidP="00FE3791">
      <w:pPr>
        <w:spacing w:after="120" w:line="240" w:lineRule="auto"/>
        <w:rPr>
          <w:rFonts w:cstheme="minorHAnsi"/>
        </w:rPr>
      </w:pPr>
      <w:r w:rsidRPr="00FE3791">
        <w:rPr>
          <w:rFonts w:cstheme="minorHAnsi"/>
        </w:rPr>
        <w:t xml:space="preserve">[1] ESEV e CI&amp;DEI, Viseu, emiliamartins@esev.ipv.pt [2] ESEV, Viseu, </w:t>
      </w:r>
      <w:proofErr w:type="gramStart"/>
      <w:r w:rsidRPr="00FE3791">
        <w:rPr>
          <w:rFonts w:cstheme="minorHAnsi"/>
        </w:rPr>
        <w:t>lauragomes@esev.ipv.pt[</w:t>
      </w:r>
      <w:proofErr w:type="gramEnd"/>
      <w:r w:rsidRPr="00FE3791">
        <w:rPr>
          <w:rFonts w:cstheme="minorHAnsi"/>
        </w:rPr>
        <w:t xml:space="preserve">3] </w:t>
      </w:r>
      <w:proofErr w:type="spellStart"/>
      <w:r w:rsidRPr="00FE3791">
        <w:rPr>
          <w:rFonts w:cstheme="minorHAnsi"/>
        </w:rPr>
        <w:t>AEViso</w:t>
      </w:r>
      <w:proofErr w:type="spellEnd"/>
      <w:r w:rsidRPr="00FE3791">
        <w:rPr>
          <w:rFonts w:cstheme="minorHAnsi"/>
        </w:rPr>
        <w:t xml:space="preserve">, Viseu, veralms80@hotmail.com [4] ESEV e CI&amp;DEI, Viseu, fmendes@esev.ipv.pt[5] ESEV e CI&amp;DEI, Viseu, </w:t>
      </w:r>
      <w:bookmarkStart w:id="2" w:name="_Hlk158932950"/>
    </w:p>
    <w:p w14:paraId="5EFDF2FD" w14:textId="77777777" w:rsidR="00FE3791" w:rsidRPr="00671D91" w:rsidRDefault="00FE3791" w:rsidP="00FE3791">
      <w:pPr>
        <w:pStyle w:val="Ttulo1"/>
        <w:spacing w:before="0" w:after="120" w:line="240" w:lineRule="auto"/>
        <w:jc w:val="both"/>
        <w:rPr>
          <w:rFonts w:asciiTheme="minorHAnsi" w:hAnsiTheme="minorHAnsi" w:cstheme="minorHAnsi"/>
          <w:b/>
          <w:color w:val="auto"/>
          <w:sz w:val="22"/>
          <w:szCs w:val="22"/>
        </w:rPr>
      </w:pPr>
      <w:r w:rsidRPr="00671D91">
        <w:rPr>
          <w:rFonts w:asciiTheme="minorHAnsi" w:hAnsiTheme="minorHAnsi" w:cstheme="minorHAnsi"/>
          <w:b/>
          <w:color w:val="auto"/>
          <w:sz w:val="22"/>
          <w:szCs w:val="22"/>
        </w:rPr>
        <w:lastRenderedPageBreak/>
        <w:t>Resumen</w:t>
      </w:r>
    </w:p>
    <w:p w14:paraId="28ACE17A" w14:textId="5A56ED63" w:rsidR="00FE3791" w:rsidRPr="00671D91" w:rsidRDefault="00FE3791" w:rsidP="00FE3791">
      <w:pPr>
        <w:spacing w:after="120" w:line="240" w:lineRule="auto"/>
        <w:jc w:val="both"/>
        <w:rPr>
          <w:rFonts w:cstheme="minorHAnsi"/>
          <w:b/>
          <w:bCs/>
        </w:rPr>
      </w:pPr>
      <w:r w:rsidRPr="00FE3791">
        <w:rPr>
          <w:rFonts w:cstheme="minorHAnsi"/>
          <w:b/>
          <w:bCs/>
        </w:rPr>
        <w:t>Introducción</w:t>
      </w:r>
      <w:r w:rsidR="00671D91">
        <w:rPr>
          <w:rFonts w:cstheme="minorHAnsi"/>
          <w:b/>
          <w:bCs/>
        </w:rPr>
        <w:t xml:space="preserve">. </w:t>
      </w:r>
      <w:r w:rsidRPr="00FE3791">
        <w:rPr>
          <w:rFonts w:cstheme="minorHAnsi"/>
        </w:rPr>
        <w:t>La educación inclusiva, consagrada constitucionalmente en Portugal, está condensada en el plan de intervención de la Estrategia Nacional para la Inclusión de las Personas con Discapacidad 2021-2025.  Sin embargo, en la asistencia y finalización de la educación superior por parte de los Estudiantes con Necesidades Educativas Específicas (ENEE), existen muchas barreras (CNE, 2017). Los esfuerzos de las instituciones de educación superior han permitido desarrollar unidades de apoyo a los ENEE (</w:t>
      </w:r>
      <w:proofErr w:type="spellStart"/>
      <w:r w:rsidRPr="00FE3791">
        <w:rPr>
          <w:rFonts w:cstheme="minorHAnsi"/>
        </w:rPr>
        <w:t>Fernandes</w:t>
      </w:r>
      <w:proofErr w:type="spellEnd"/>
      <w:r w:rsidRPr="00FE3791">
        <w:rPr>
          <w:rFonts w:cstheme="minorHAnsi"/>
        </w:rPr>
        <w:t xml:space="preserve"> et al., 2015; Soares et al., 2015), reconociendo en todos los estudiantes la capacidad de aprender, con respuestas adecuadas (Machado et al., 2020; OPP, 2017). Relatamos una experiencia de apoyo psicopedagógico en educación superior, con una estudiante de grado en Educación Social, en una institución portuguesa, en el ámbito de un proyecto de inclusión académica y empleabilidad en ENEE. </w:t>
      </w:r>
    </w:p>
    <w:p w14:paraId="0B52DEF0" w14:textId="77777777" w:rsidR="00FE3791" w:rsidRPr="00FE3791" w:rsidRDefault="00FE3791" w:rsidP="00FE3791">
      <w:pPr>
        <w:spacing w:after="120" w:line="240" w:lineRule="auto"/>
        <w:jc w:val="both"/>
        <w:rPr>
          <w:rFonts w:cstheme="minorHAnsi"/>
        </w:rPr>
      </w:pPr>
      <w:r w:rsidRPr="00FE3791">
        <w:rPr>
          <w:rFonts w:cstheme="minorHAnsi"/>
          <w:b/>
          <w:bCs/>
        </w:rPr>
        <w:t>Objetivo:</w:t>
      </w:r>
      <w:r w:rsidRPr="00FE3791">
        <w:rPr>
          <w:rFonts w:cstheme="minorHAnsi"/>
        </w:rPr>
        <w:t xml:space="preserve"> Analizar el impacto de la intervención en el apoyo al proceso de adaptación y aprendizaje de una ENEE en el 1er año. </w:t>
      </w:r>
    </w:p>
    <w:p w14:paraId="6A6ACB64" w14:textId="471D1C18" w:rsidR="00FE3791" w:rsidRPr="00FE3791" w:rsidRDefault="00FE3791" w:rsidP="00FE3791">
      <w:pPr>
        <w:spacing w:after="120" w:line="240" w:lineRule="auto"/>
        <w:jc w:val="both"/>
        <w:rPr>
          <w:rFonts w:cstheme="minorHAnsi"/>
        </w:rPr>
      </w:pPr>
      <w:r w:rsidRPr="00FE3791">
        <w:rPr>
          <w:rFonts w:cstheme="minorHAnsi"/>
          <w:b/>
          <w:bCs/>
        </w:rPr>
        <w:t>Método:</w:t>
      </w:r>
      <w:r w:rsidRPr="00FE3791">
        <w:rPr>
          <w:rFonts w:cstheme="minorHAnsi"/>
        </w:rPr>
        <w:t xml:space="preserve"> </w:t>
      </w:r>
      <w:r w:rsidR="00671D91">
        <w:rPr>
          <w:rFonts w:cstheme="minorHAnsi"/>
        </w:rPr>
        <w:t xml:space="preserve"> </w:t>
      </w:r>
      <w:r w:rsidRPr="00FE3791">
        <w:rPr>
          <w:rFonts w:cstheme="minorHAnsi"/>
        </w:rPr>
        <w:t xml:space="preserve">Observación y registros/informes de seguimiento, así como </w:t>
      </w:r>
      <w:proofErr w:type="spellStart"/>
      <w:r w:rsidRPr="00FE3791">
        <w:rPr>
          <w:rFonts w:eastAsia="Calibri" w:cstheme="minorHAnsi"/>
          <w:i/>
          <w:iCs/>
        </w:rPr>
        <w:t>feedback</w:t>
      </w:r>
      <w:proofErr w:type="spellEnd"/>
      <w:r w:rsidRPr="00FE3791">
        <w:rPr>
          <w:rFonts w:cstheme="minorHAnsi"/>
        </w:rPr>
        <w:t xml:space="preserve"> de la estudiante y coordinación del curso. </w:t>
      </w:r>
    </w:p>
    <w:p w14:paraId="74837810" w14:textId="58CEAE6F" w:rsidR="00FE3791" w:rsidRPr="00FE3791" w:rsidRDefault="00FE3791" w:rsidP="00FE3791">
      <w:pPr>
        <w:spacing w:after="120" w:line="240" w:lineRule="auto"/>
        <w:jc w:val="both"/>
        <w:rPr>
          <w:rFonts w:cstheme="minorHAnsi"/>
        </w:rPr>
      </w:pPr>
      <w:r w:rsidRPr="00FE3791">
        <w:rPr>
          <w:rFonts w:cstheme="minorHAnsi"/>
          <w:b/>
          <w:bCs/>
        </w:rPr>
        <w:t>Resultados:</w:t>
      </w:r>
      <w:r w:rsidRPr="00FE3791">
        <w:rPr>
          <w:rFonts w:cstheme="minorHAnsi"/>
        </w:rPr>
        <w:t xml:space="preserve"> La identificación de las dificultades de lectoescritura de la estudiante determinó una evaluación especializada del perfil de funcionamiento personal e intelectual (normativo para el grupo de edad). Se confirmaron los criterios de Trastorno Específico del Aprendizaje (APA, 2014), un diagnóstico previo al ingreso a la educación superior, realizado en un país francófono, donde vivió hasta su adolescencia temprana. La priorización de la lengua francesa, en la interacción familiar y en los hábitos de lectura, también resultó perjudicial para la expresión en portugués. Se elaboró un informe técnico psicopedagógico, dirigido a los docentes, con sugerencias de adecuaciones en el proceso de enseñanza-aprendizaje y evaluación, regulado por la Institución. También benefició de apoyo psicopedagógico/socioeducativo individualizado (psicóloga y educadora social), con una adherencia significativa. Asistió a 18 sesiones, de aproximadamente una hora por semana (mayor duración en los períodos de evaluación), beneficiándose del apoyo en la preparación de trabajos académicos, estructuración de ideas, formación en redacción, revisión de textos y lectura en voz alta. La estudiante mostró un mayor compromiso y rigor en la presentación formal del trabajo y en la escritura, a pesar de algunas desorganizaciones y faltas de ortografía, así como una mayor autonomía, autoconfianza y motivación, a lo que se suma el éxito académico. Estos cambios se reflejaron en su participación en clase, de acuerdo con la coordinadora del curso. También es destacable la satisfacción de la estudiante con el apoyo, valorando su continuidad (no posible por la finalización del proyecto). </w:t>
      </w:r>
    </w:p>
    <w:p w14:paraId="474AE2DC" w14:textId="51274799" w:rsidR="00FE3791" w:rsidRPr="00FE3791" w:rsidRDefault="00FE3791" w:rsidP="00FE3791">
      <w:pPr>
        <w:spacing w:after="120" w:line="240" w:lineRule="auto"/>
        <w:jc w:val="both"/>
        <w:rPr>
          <w:rFonts w:cstheme="minorHAnsi"/>
        </w:rPr>
      </w:pPr>
      <w:r w:rsidRPr="00FE3791">
        <w:rPr>
          <w:rFonts w:cstheme="minorHAnsi"/>
          <w:b/>
          <w:bCs/>
        </w:rPr>
        <w:t>Discusión y conclusiones:</w:t>
      </w:r>
      <w:r w:rsidRPr="00FE3791">
        <w:rPr>
          <w:rFonts w:cstheme="minorHAnsi"/>
        </w:rPr>
        <w:t xml:space="preserve"> Se destaca la importancia de apoyar a los ENEE, incluso en la educación superior. Aunque algunos aspectos neurológicos pueden ser persistentes y difíciles de atenuar, se han demostrado beneficios de la intervención socioeducativa y del trabajo en red. Destacamos la mejora de la autoconfianza y la implicación activa en el aprendizaje, cruciales para el éxito académico, la inclusión y el proyecto de vida. El camino que se ha emprendido ha creado dinámicas que no deben ser interrumpidas y debe ampliarse el alcance de la asistencia.</w:t>
      </w:r>
    </w:p>
    <w:p w14:paraId="1EEDFBF3" w14:textId="77777777" w:rsidR="00FE3791" w:rsidRPr="00FE3791" w:rsidRDefault="00FE3791" w:rsidP="00FE3791">
      <w:pPr>
        <w:spacing w:after="120" w:line="240" w:lineRule="auto"/>
        <w:jc w:val="both"/>
        <w:rPr>
          <w:rFonts w:cstheme="minorHAnsi"/>
        </w:rPr>
      </w:pPr>
    </w:p>
    <w:p w14:paraId="2AE74D94" w14:textId="77777777" w:rsidR="00FE3791" w:rsidRPr="00FE3791" w:rsidRDefault="00FE3791" w:rsidP="00FE3791">
      <w:pPr>
        <w:spacing w:after="120" w:line="240" w:lineRule="auto"/>
        <w:jc w:val="both"/>
        <w:rPr>
          <w:rFonts w:cstheme="minorHAnsi"/>
        </w:rPr>
      </w:pPr>
      <w:r w:rsidRPr="00FE3791">
        <w:rPr>
          <w:rFonts w:cstheme="minorHAnsi"/>
          <w:b/>
          <w:bCs/>
        </w:rPr>
        <w:t>Palabras clave:</w:t>
      </w:r>
      <w:r w:rsidRPr="00FE3791">
        <w:rPr>
          <w:rFonts w:cstheme="minorHAnsi"/>
        </w:rPr>
        <w:t xml:space="preserve"> Inclusión, estudiantes con necesidades específicas, educación superior, trabajo social.</w:t>
      </w:r>
    </w:p>
    <w:p w14:paraId="0697F85E" w14:textId="77777777" w:rsidR="00FE3791" w:rsidRPr="00FE3791" w:rsidRDefault="00FE3791" w:rsidP="00FE3791">
      <w:pPr>
        <w:spacing w:after="120" w:line="240" w:lineRule="auto"/>
        <w:rPr>
          <w:rFonts w:cstheme="minorHAnsi"/>
        </w:rPr>
      </w:pPr>
    </w:p>
    <w:bookmarkEnd w:id="2"/>
    <w:sectPr w:rsidR="00FE3791" w:rsidRPr="00FE3791" w:rsidSect="00E0353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A33"/>
    <w:multiLevelType w:val="multilevel"/>
    <w:tmpl w:val="9B8AAE44"/>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8305D"/>
    <w:multiLevelType w:val="hybridMultilevel"/>
    <w:tmpl w:val="EE282FC0"/>
    <w:lvl w:ilvl="0" w:tplc="DEB6888C">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0D4D93"/>
    <w:multiLevelType w:val="hybridMultilevel"/>
    <w:tmpl w:val="68F85B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FEF480D"/>
    <w:multiLevelType w:val="hybridMultilevel"/>
    <w:tmpl w:val="C046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D846DAB"/>
    <w:multiLevelType w:val="hybridMultilevel"/>
    <w:tmpl w:val="0D42FC5E"/>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B835A1"/>
    <w:multiLevelType w:val="hybridMultilevel"/>
    <w:tmpl w:val="47EC912C"/>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7442A3"/>
    <w:multiLevelType w:val="hybridMultilevel"/>
    <w:tmpl w:val="6CEAB60A"/>
    <w:lvl w:ilvl="0" w:tplc="DEB6888C">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01360E"/>
    <w:multiLevelType w:val="hybridMultilevel"/>
    <w:tmpl w:val="0D7A70D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A227A3"/>
    <w:multiLevelType w:val="hybridMultilevel"/>
    <w:tmpl w:val="AE50B56A"/>
    <w:lvl w:ilvl="0" w:tplc="83C6E604">
      <w:start w:val="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A423C9"/>
    <w:multiLevelType w:val="hybridMultilevel"/>
    <w:tmpl w:val="4B14C57E"/>
    <w:lvl w:ilvl="0" w:tplc="AE5C6F24">
      <w:start w:val="5"/>
      <w:numFmt w:val="bullet"/>
      <w:lvlText w:val="-"/>
      <w:lvlJc w:val="left"/>
      <w:pPr>
        <w:ind w:left="720" w:hanging="360"/>
      </w:pPr>
      <w:rPr>
        <w:rFonts w:ascii="Calibri" w:eastAsiaTheme="majorEastAsia" w:hAnsi="Calibri" w:cstheme="minorHAns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C54588"/>
    <w:multiLevelType w:val="hybridMultilevel"/>
    <w:tmpl w:val="8946C26A"/>
    <w:lvl w:ilvl="0" w:tplc="3080017A">
      <w:start w:val="1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9639D0"/>
    <w:multiLevelType w:val="hybridMultilevel"/>
    <w:tmpl w:val="A0BE1F8E"/>
    <w:lvl w:ilvl="0" w:tplc="83C6E60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FB478C2"/>
    <w:multiLevelType w:val="hybridMultilevel"/>
    <w:tmpl w:val="DA92AF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2"/>
  </w:num>
  <w:num w:numId="6">
    <w:abstractNumId w:val="7"/>
  </w:num>
  <w:num w:numId="7">
    <w:abstractNumId w:val="5"/>
  </w:num>
  <w:num w:numId="8">
    <w:abstractNumId w:val="4"/>
  </w:num>
  <w:num w:numId="9">
    <w:abstractNumId w:val="1"/>
  </w:num>
  <w:num w:numId="10">
    <w:abstractNumId w:val="6"/>
  </w:num>
  <w:num w:numId="11">
    <w:abstractNumId w:val="11"/>
  </w:num>
  <w:num w:numId="12">
    <w:abstractNumId w:val="8"/>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15406"/>
    <w:rsid w:val="000208C3"/>
    <w:rsid w:val="00022AEE"/>
    <w:rsid w:val="00070E90"/>
    <w:rsid w:val="0008196B"/>
    <w:rsid w:val="000932CB"/>
    <w:rsid w:val="000B2E74"/>
    <w:rsid w:val="000D482F"/>
    <w:rsid w:val="000E0BCD"/>
    <w:rsid w:val="000E4669"/>
    <w:rsid w:val="001066FD"/>
    <w:rsid w:val="0011255D"/>
    <w:rsid w:val="001130C2"/>
    <w:rsid w:val="001177F3"/>
    <w:rsid w:val="00122E81"/>
    <w:rsid w:val="00153998"/>
    <w:rsid w:val="00153B27"/>
    <w:rsid w:val="0017145B"/>
    <w:rsid w:val="001736C2"/>
    <w:rsid w:val="00177E9F"/>
    <w:rsid w:val="00182069"/>
    <w:rsid w:val="00196DFD"/>
    <w:rsid w:val="001A4BFA"/>
    <w:rsid w:val="001B2818"/>
    <w:rsid w:val="001C2F39"/>
    <w:rsid w:val="001C7160"/>
    <w:rsid w:val="001D0EF5"/>
    <w:rsid w:val="001D3092"/>
    <w:rsid w:val="001D5741"/>
    <w:rsid w:val="00231ABB"/>
    <w:rsid w:val="00237D74"/>
    <w:rsid w:val="002418A7"/>
    <w:rsid w:val="00260387"/>
    <w:rsid w:val="00283E0F"/>
    <w:rsid w:val="002A6283"/>
    <w:rsid w:val="002B73A9"/>
    <w:rsid w:val="002C4849"/>
    <w:rsid w:val="002D24D8"/>
    <w:rsid w:val="002E2CE1"/>
    <w:rsid w:val="00311E0E"/>
    <w:rsid w:val="003144EC"/>
    <w:rsid w:val="00317858"/>
    <w:rsid w:val="00321231"/>
    <w:rsid w:val="0033485B"/>
    <w:rsid w:val="00342827"/>
    <w:rsid w:val="00350F40"/>
    <w:rsid w:val="0037220F"/>
    <w:rsid w:val="0037432F"/>
    <w:rsid w:val="003A0F07"/>
    <w:rsid w:val="003A25E2"/>
    <w:rsid w:val="003A278F"/>
    <w:rsid w:val="003C113E"/>
    <w:rsid w:val="003C165E"/>
    <w:rsid w:val="003D1032"/>
    <w:rsid w:val="003D400F"/>
    <w:rsid w:val="003F6F5D"/>
    <w:rsid w:val="00411495"/>
    <w:rsid w:val="00415539"/>
    <w:rsid w:val="0041756D"/>
    <w:rsid w:val="00427BF5"/>
    <w:rsid w:val="0043500B"/>
    <w:rsid w:val="00446A2D"/>
    <w:rsid w:val="0046391B"/>
    <w:rsid w:val="00487BC2"/>
    <w:rsid w:val="00487E61"/>
    <w:rsid w:val="00493B6C"/>
    <w:rsid w:val="00497D8C"/>
    <w:rsid w:val="004C0767"/>
    <w:rsid w:val="004C1F4E"/>
    <w:rsid w:val="004C3283"/>
    <w:rsid w:val="004D7945"/>
    <w:rsid w:val="00501400"/>
    <w:rsid w:val="00501A91"/>
    <w:rsid w:val="00520C48"/>
    <w:rsid w:val="005376B1"/>
    <w:rsid w:val="00551859"/>
    <w:rsid w:val="005565D7"/>
    <w:rsid w:val="00560DCF"/>
    <w:rsid w:val="0057668F"/>
    <w:rsid w:val="0058282C"/>
    <w:rsid w:val="0059319A"/>
    <w:rsid w:val="00596EFC"/>
    <w:rsid w:val="005B1BEE"/>
    <w:rsid w:val="005E24BF"/>
    <w:rsid w:val="005E3881"/>
    <w:rsid w:val="006015C4"/>
    <w:rsid w:val="006033EA"/>
    <w:rsid w:val="00605650"/>
    <w:rsid w:val="00606ACE"/>
    <w:rsid w:val="006108AE"/>
    <w:rsid w:val="00610E2D"/>
    <w:rsid w:val="00616712"/>
    <w:rsid w:val="0064538A"/>
    <w:rsid w:val="00650291"/>
    <w:rsid w:val="00670308"/>
    <w:rsid w:val="00671D91"/>
    <w:rsid w:val="006A0BA3"/>
    <w:rsid w:val="006A37CB"/>
    <w:rsid w:val="006A383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50FC1"/>
    <w:rsid w:val="00767520"/>
    <w:rsid w:val="00770969"/>
    <w:rsid w:val="00772094"/>
    <w:rsid w:val="0078471E"/>
    <w:rsid w:val="007873D8"/>
    <w:rsid w:val="007B5266"/>
    <w:rsid w:val="007E4EEA"/>
    <w:rsid w:val="007F51DB"/>
    <w:rsid w:val="00800063"/>
    <w:rsid w:val="00800EEE"/>
    <w:rsid w:val="00810745"/>
    <w:rsid w:val="008115E9"/>
    <w:rsid w:val="008172C2"/>
    <w:rsid w:val="0084543C"/>
    <w:rsid w:val="008506F5"/>
    <w:rsid w:val="00855F02"/>
    <w:rsid w:val="00883433"/>
    <w:rsid w:val="00890942"/>
    <w:rsid w:val="008936D8"/>
    <w:rsid w:val="008C4C6F"/>
    <w:rsid w:val="008D2BDA"/>
    <w:rsid w:val="008E425D"/>
    <w:rsid w:val="008F1EEC"/>
    <w:rsid w:val="009355C2"/>
    <w:rsid w:val="00943A64"/>
    <w:rsid w:val="00945F06"/>
    <w:rsid w:val="009643F9"/>
    <w:rsid w:val="00974FCB"/>
    <w:rsid w:val="00984C03"/>
    <w:rsid w:val="00993916"/>
    <w:rsid w:val="009A228E"/>
    <w:rsid w:val="009A67E1"/>
    <w:rsid w:val="009A7DC5"/>
    <w:rsid w:val="009B373C"/>
    <w:rsid w:val="009C4E93"/>
    <w:rsid w:val="009F414A"/>
    <w:rsid w:val="00A52F13"/>
    <w:rsid w:val="00A56E2C"/>
    <w:rsid w:val="00AB1E3B"/>
    <w:rsid w:val="00AE307E"/>
    <w:rsid w:val="00AF016E"/>
    <w:rsid w:val="00B01E41"/>
    <w:rsid w:val="00B06D38"/>
    <w:rsid w:val="00B1078D"/>
    <w:rsid w:val="00B1128E"/>
    <w:rsid w:val="00B1298D"/>
    <w:rsid w:val="00B206C3"/>
    <w:rsid w:val="00B254C5"/>
    <w:rsid w:val="00B34BE1"/>
    <w:rsid w:val="00B709D3"/>
    <w:rsid w:val="00B76D41"/>
    <w:rsid w:val="00B85354"/>
    <w:rsid w:val="00BA350A"/>
    <w:rsid w:val="00BC03D3"/>
    <w:rsid w:val="00BC7CB8"/>
    <w:rsid w:val="00BD2BA0"/>
    <w:rsid w:val="00BE17F3"/>
    <w:rsid w:val="00C026C0"/>
    <w:rsid w:val="00C04F4E"/>
    <w:rsid w:val="00C05ABF"/>
    <w:rsid w:val="00C24AB3"/>
    <w:rsid w:val="00C346D7"/>
    <w:rsid w:val="00C352F1"/>
    <w:rsid w:val="00C44507"/>
    <w:rsid w:val="00C73227"/>
    <w:rsid w:val="00C86392"/>
    <w:rsid w:val="00C91F8A"/>
    <w:rsid w:val="00C953DD"/>
    <w:rsid w:val="00C96CD5"/>
    <w:rsid w:val="00CA5D85"/>
    <w:rsid w:val="00CA7BEB"/>
    <w:rsid w:val="00CC38AF"/>
    <w:rsid w:val="00CE0AD7"/>
    <w:rsid w:val="00CE2D9C"/>
    <w:rsid w:val="00CF4C01"/>
    <w:rsid w:val="00D00822"/>
    <w:rsid w:val="00D00ACF"/>
    <w:rsid w:val="00D05A63"/>
    <w:rsid w:val="00D1795E"/>
    <w:rsid w:val="00D22C67"/>
    <w:rsid w:val="00D37DC4"/>
    <w:rsid w:val="00D428A7"/>
    <w:rsid w:val="00D65E30"/>
    <w:rsid w:val="00D804B4"/>
    <w:rsid w:val="00D91E10"/>
    <w:rsid w:val="00D92EAC"/>
    <w:rsid w:val="00D952B7"/>
    <w:rsid w:val="00DA6ED3"/>
    <w:rsid w:val="00DB07CA"/>
    <w:rsid w:val="00DB287A"/>
    <w:rsid w:val="00DE60D9"/>
    <w:rsid w:val="00DF3A17"/>
    <w:rsid w:val="00E03536"/>
    <w:rsid w:val="00E07DC2"/>
    <w:rsid w:val="00E12FD7"/>
    <w:rsid w:val="00E30BC1"/>
    <w:rsid w:val="00E45BA4"/>
    <w:rsid w:val="00E5185D"/>
    <w:rsid w:val="00E62BAE"/>
    <w:rsid w:val="00E7098E"/>
    <w:rsid w:val="00E81020"/>
    <w:rsid w:val="00E8646A"/>
    <w:rsid w:val="00E906A3"/>
    <w:rsid w:val="00E92C99"/>
    <w:rsid w:val="00E95F0F"/>
    <w:rsid w:val="00EB0FC4"/>
    <w:rsid w:val="00EB5EFF"/>
    <w:rsid w:val="00EC01FF"/>
    <w:rsid w:val="00EC26A4"/>
    <w:rsid w:val="00EC3EE2"/>
    <w:rsid w:val="00EC6513"/>
    <w:rsid w:val="00F109CE"/>
    <w:rsid w:val="00F21B17"/>
    <w:rsid w:val="00F22772"/>
    <w:rsid w:val="00F358A2"/>
    <w:rsid w:val="00F44973"/>
    <w:rsid w:val="00F521CC"/>
    <w:rsid w:val="00F61F1A"/>
    <w:rsid w:val="00F64F87"/>
    <w:rsid w:val="00F679A5"/>
    <w:rsid w:val="00F71095"/>
    <w:rsid w:val="00F75E9B"/>
    <w:rsid w:val="00F81882"/>
    <w:rsid w:val="00F842EF"/>
    <w:rsid w:val="00FA5357"/>
    <w:rsid w:val="00FC3DFB"/>
    <w:rsid w:val="00FD38BD"/>
    <w:rsid w:val="00FD7CB7"/>
    <w:rsid w:val="00FE3791"/>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paragraph" w:styleId="Ttulo1">
    <w:name w:val="heading 1"/>
    <w:basedOn w:val="Normal"/>
    <w:next w:val="Normal"/>
    <w:link w:val="Ttulo1Car"/>
    <w:uiPriority w:val="9"/>
    <w:qFormat/>
    <w:rsid w:val="00945F06"/>
    <w:pPr>
      <w:keepNext/>
      <w:keepLines/>
      <w:spacing w:before="360" w:after="80" w:line="256"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 w:type="paragraph" w:styleId="HTMLconformatoprevio">
    <w:name w:val="HTML Preformatted"/>
    <w:basedOn w:val="Normal"/>
    <w:link w:val="HTMLconformatoprevioCar"/>
    <w:uiPriority w:val="99"/>
    <w:semiHidden/>
    <w:unhideWhenUsed/>
    <w:rsid w:val="0001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ES_tradnl"/>
    </w:rPr>
  </w:style>
  <w:style w:type="character" w:customStyle="1" w:styleId="HTMLconformatoprevioCar">
    <w:name w:val="HTML con formato previo Car"/>
    <w:basedOn w:val="Fuentedeprrafopredeter"/>
    <w:link w:val="HTMLconformatoprevio"/>
    <w:uiPriority w:val="99"/>
    <w:semiHidden/>
    <w:rsid w:val="00015406"/>
    <w:rPr>
      <w:rFonts w:ascii="Courier New" w:eastAsia="Times New Roman" w:hAnsi="Courier New" w:cs="Courier New"/>
      <w:sz w:val="20"/>
      <w:szCs w:val="20"/>
      <w:lang w:val="es-CO" w:eastAsia="es-ES_tradnl"/>
    </w:rPr>
  </w:style>
  <w:style w:type="character" w:customStyle="1" w:styleId="y2iqfc">
    <w:name w:val="y2iqfc"/>
    <w:basedOn w:val="Fuentedeprrafopredeter"/>
    <w:rsid w:val="00015406"/>
  </w:style>
  <w:style w:type="character" w:customStyle="1" w:styleId="Ttulo1Car">
    <w:name w:val="Título 1 Car"/>
    <w:basedOn w:val="Fuentedeprrafopredeter"/>
    <w:link w:val="Ttulo1"/>
    <w:uiPriority w:val="9"/>
    <w:rsid w:val="00945F06"/>
    <w:rPr>
      <w:rFonts w:asciiTheme="majorHAnsi" w:eastAsiaTheme="majorEastAsia" w:hAnsiTheme="majorHAnsi" w:cstheme="majorBidi"/>
      <w:color w:val="2F5496" w:themeColor="accent1" w:themeShade="BF"/>
      <w:kern w:val="2"/>
      <w:sz w:val="40"/>
      <w:szCs w:val="40"/>
      <w14:ligatures w14:val="standardContextual"/>
    </w:rPr>
  </w:style>
  <w:style w:type="paragraph" w:styleId="Sangradetextonormal">
    <w:name w:val="Body Text Indent"/>
    <w:basedOn w:val="Normal"/>
    <w:link w:val="SangradetextonormalCar"/>
    <w:uiPriority w:val="99"/>
    <w:semiHidden/>
    <w:unhideWhenUsed/>
    <w:rsid w:val="001C2F39"/>
    <w:pPr>
      <w:spacing w:after="120"/>
      <w:ind w:left="283"/>
    </w:pPr>
  </w:style>
  <w:style w:type="character" w:customStyle="1" w:styleId="SangradetextonormalCar">
    <w:name w:val="Sangría de texto normal Car"/>
    <w:basedOn w:val="Fuentedeprrafopredeter"/>
    <w:link w:val="Sangradetextonormal"/>
    <w:uiPriority w:val="99"/>
    <w:semiHidden/>
    <w:rsid w:val="001C2F39"/>
  </w:style>
  <w:style w:type="paragraph" w:styleId="Textoindependienteprimerasangra2">
    <w:name w:val="Body Text First Indent 2"/>
    <w:basedOn w:val="Sangradetextonormal"/>
    <w:link w:val="Textoindependienteprimerasangra2Car"/>
    <w:uiPriority w:val="99"/>
    <w:semiHidden/>
    <w:unhideWhenUsed/>
    <w:rsid w:val="001C2F3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C2F39"/>
  </w:style>
  <w:style w:type="character" w:customStyle="1" w:styleId="apple-converted-space">
    <w:name w:val="apple-converted-space"/>
    <w:basedOn w:val="Fuentedeprrafopredeter"/>
    <w:rsid w:val="00C9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303734729">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B3D4F-A801-43DB-ADE2-B2C73EDF4ABA}">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17d211aa-786d-4740-b6b6-e454615d4b2f"/>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4.xml><?xml version="1.0" encoding="utf-8"?>
<ds:datastoreItem xmlns:ds="http://schemas.openxmlformats.org/officeDocument/2006/customXml" ds:itemID="{05422EEC-D80C-4048-B982-B6582BFC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7325</Words>
  <Characters>40292</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2024-04-07T12:34:00Z</dcterms:created>
  <dcterms:modified xsi:type="dcterms:W3CDTF">2024-04-07T12:34:00Z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